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5"/>
        <w:ind w:firstLine="0"/>
        <w:jc w:val="center"/>
        <w:rPr>
          <w:rFonts w:hint="eastAsia" w:ascii="宋体" w:hAnsi="宋体" w:eastAsia="宋体" w:cs="宋体"/>
          <w:b/>
          <w:bCs/>
          <w:sz w:val="84"/>
          <w:highlight w:val="none"/>
        </w:rPr>
      </w:pPr>
      <w:r>
        <w:rPr>
          <w:rFonts w:hint="eastAsia" w:ascii="宋体" w:hAnsi="宋体" w:eastAsia="宋体" w:cs="宋体"/>
          <w:b/>
          <w:bCs/>
          <w:sz w:val="84"/>
          <w:highlight w:val="none"/>
        </w:rPr>
      </w:r>
      <w:r/>
    </w:p>
    <w:p>
      <w:pPr>
        <w:pStyle w:val="925"/>
        <w:ind w:firstLine="0"/>
        <w:jc w:val="center"/>
        <w:rPr>
          <w:rFonts w:hint="eastAsia" w:ascii="宋体" w:hAnsi="宋体" w:eastAsia="宋体" w:cs="宋体"/>
          <w:b/>
          <w:bCs/>
          <w:sz w:val="84"/>
          <w:highlight w:val="none"/>
        </w:rPr>
      </w:pPr>
      <w:r>
        <w:rPr>
          <w:rFonts w:hint="eastAsia" w:ascii="宋体" w:hAnsi="宋体" w:eastAsia="宋体" w:cs="宋体"/>
          <w:b/>
          <w:bCs/>
          <w:sz w:val="84"/>
          <w:highlight w:val="none"/>
        </w:rPr>
        <w:t xml:space="preserve">招　标　文　件</w:t>
      </w:r>
      <w:r/>
    </w:p>
    <w:p>
      <w:pPr>
        <w:ind w:firstLine="1205"/>
        <w:jc w:val="both"/>
        <w:spacing w:line="560" w:lineRule="exact"/>
        <w:widowControl w:val="off"/>
        <w:rPr>
          <w:rFonts w:hint="eastAsia" w:ascii="宋体" w:hAnsi="宋体" w:eastAsia="宋体" w:cs="宋体"/>
          <w:b/>
          <w:sz w:val="30"/>
          <w:szCs w:val="30"/>
          <w:highlight w:val="none"/>
        </w:rPr>
      </w:pPr>
      <w:r>
        <w:rPr>
          <w:rFonts w:hint="eastAsia" w:ascii="宋体" w:hAnsi="宋体" w:eastAsia="宋体" w:cs="宋体"/>
          <w:b/>
          <w:sz w:val="30"/>
          <w:szCs w:val="30"/>
          <w:highlight w:val="none"/>
        </w:rPr>
      </w:r>
      <w:r/>
    </w:p>
    <w:p>
      <w:pPr>
        <w:ind w:firstLine="1205"/>
        <w:jc w:val="both"/>
        <w:spacing w:line="560" w:lineRule="exact"/>
        <w:widowControl w:val="off"/>
        <w:rPr>
          <w:rFonts w:hint="eastAsia" w:ascii="宋体" w:hAnsi="宋体" w:eastAsia="宋体" w:cs="宋体"/>
          <w:b/>
          <w:sz w:val="36"/>
          <w:szCs w:val="36"/>
          <w:highlight w:val="none"/>
          <w:lang w:eastAsia="zh-CN"/>
        </w:rPr>
      </w:pPr>
      <w:r>
        <w:rPr>
          <w:rFonts w:hint="eastAsia" w:ascii="宋体" w:hAnsi="宋体" w:eastAsia="宋体" w:cs="宋体"/>
          <w:b/>
          <w:sz w:val="36"/>
          <w:szCs w:val="36"/>
          <w:highlight w:val="none"/>
        </w:rPr>
        <w:t xml:space="preserve">项目名称：</w:t>
      </w:r>
      <w:r>
        <w:rPr>
          <w:rFonts w:hint="eastAsia" w:ascii="宋体" w:hAnsi="宋体" w:eastAsia="宋体" w:cs="宋体"/>
          <w:b/>
          <w:sz w:val="36"/>
          <w:szCs w:val="36"/>
          <w:highlight w:val="none"/>
          <w:lang w:eastAsia="zh-CN"/>
        </w:rPr>
        <w:t xml:space="preserve">团山消防站救援装备器材采购</w:t>
      </w:r>
      <w:r/>
    </w:p>
    <w:p>
      <w:pPr>
        <w:ind w:firstLine="1205"/>
        <w:jc w:val="both"/>
        <w:spacing w:line="560" w:lineRule="exact"/>
        <w:widowControl w:val="off"/>
        <w:rPr>
          <w:rFonts w:hint="eastAsia" w:ascii="宋体" w:hAnsi="宋体" w:eastAsia="宋体" w:cs="宋体"/>
          <w:b/>
          <w:sz w:val="36"/>
          <w:szCs w:val="36"/>
          <w:highlight w:val="none"/>
        </w:rPr>
      </w:pPr>
      <w:r>
        <w:rPr>
          <w:rFonts w:hint="eastAsia" w:ascii="宋体" w:hAnsi="宋体" w:eastAsia="宋体" w:cs="宋体"/>
          <w:b/>
          <w:sz w:val="36"/>
          <w:szCs w:val="36"/>
          <w:highlight w:val="none"/>
        </w:rPr>
        <w:t xml:space="preserve">项目编号：</w:t>
      </w:r>
      <w:r>
        <w:rPr>
          <w:rFonts w:hint="eastAsia" w:ascii="宋体" w:hAnsi="宋体" w:eastAsia="宋体" w:cs="宋体"/>
          <w:color w:val="000000"/>
          <w:sz w:val="44"/>
          <w:szCs w:val="44"/>
          <w:highlight w:val="none"/>
          <w:lang w:eastAsia="zh-CN"/>
        </w:rPr>
        <w:t xml:space="preserve">JSZC-320117-NJZC-G2025-0009</w:t>
      </w:r>
      <w:r/>
    </w:p>
    <w:p>
      <w:pPr>
        <w:jc w:val="center"/>
        <w:spacing w:line="560" w:lineRule="exact"/>
        <w:widowControl w:val="off"/>
        <w:rPr>
          <w:rFonts w:hint="eastAsia" w:ascii="宋体" w:hAnsi="宋体" w:eastAsia="宋体" w:cs="宋体"/>
          <w:b/>
          <w:sz w:val="44"/>
          <w:szCs w:val="44"/>
          <w:highlight w:val="none"/>
        </w:rPr>
      </w:pPr>
      <w:r>
        <w:rPr>
          <w:rFonts w:hint="eastAsia" w:ascii="宋体" w:hAnsi="宋体" w:eastAsia="宋体" w:cs="宋体"/>
          <w:b/>
          <w:sz w:val="44"/>
          <w:szCs w:val="44"/>
          <w:highlight w:val="none"/>
        </w:rPr>
      </w:r>
      <w:r/>
    </w:p>
    <w:p>
      <w:pPr>
        <w:jc w:val="center"/>
        <w:spacing w:line="560" w:lineRule="exact"/>
        <w:widowControl w:val="off"/>
        <w:rPr>
          <w:rFonts w:hint="eastAsia" w:ascii="宋体" w:hAnsi="宋体" w:eastAsia="宋体" w:cs="宋体"/>
          <w:b/>
          <w:sz w:val="44"/>
          <w:szCs w:val="44"/>
          <w:highlight w:val="none"/>
        </w:rPr>
      </w:pPr>
      <w:r>
        <w:rPr>
          <w:rFonts w:hint="eastAsia" w:ascii="宋体" w:hAnsi="宋体" w:eastAsia="宋体" w:cs="宋体"/>
          <w:b/>
          <w:sz w:val="44"/>
          <w:szCs w:val="44"/>
          <w:highlight w:val="none"/>
        </w:rPr>
        <w:t xml:space="preserve">（货物类）</w:t>
      </w:r>
      <w:r/>
    </w:p>
    <w:p>
      <w:pPr>
        <w:pStyle w:val="925"/>
        <w:ind w:firstLine="0"/>
        <w:jc w:val="center"/>
        <w:rPr>
          <w:rFonts w:hint="eastAsia" w:ascii="宋体" w:hAnsi="宋体" w:eastAsia="宋体" w:cs="宋体"/>
          <w:b/>
          <w:bCs/>
          <w:sz w:val="84"/>
          <w:highlight w:val="none"/>
        </w:rPr>
      </w:pPr>
      <w:r>
        <w:rPr>
          <w:rFonts w:hint="eastAsia" w:ascii="宋体" w:hAnsi="宋体" w:eastAsia="宋体" w:cs="宋体"/>
          <w:b/>
          <w:bCs/>
          <w:sz w:val="84"/>
          <w:highlight w:val="none"/>
        </w:rPr>
      </w:r>
      <w:r/>
    </w:p>
    <w:p>
      <w:pPr>
        <w:pStyle w:val="925"/>
        <w:ind w:firstLine="0"/>
        <w:jc w:val="center"/>
        <w:rPr>
          <w:rFonts w:hint="eastAsia" w:ascii="宋体" w:hAnsi="宋体" w:eastAsia="宋体" w:cs="宋体"/>
          <w:b/>
          <w:bCs/>
          <w:sz w:val="84"/>
          <w:highlight w:val="none"/>
        </w:rPr>
      </w:pPr>
      <w:r>
        <w:rPr>
          <w:rFonts w:hint="eastAsia" w:ascii="宋体" w:hAnsi="宋体" w:eastAsia="宋体" w:cs="宋体"/>
          <w:b/>
          <w:bCs/>
          <w:sz w:val="84"/>
          <w:highlight w:val="none"/>
        </w:rPr>
      </w:r>
      <w:r/>
    </w:p>
    <w:p>
      <w:pPr>
        <w:ind w:left="698"/>
        <w:rPr>
          <w:rFonts w:hint="eastAsia" w:ascii="宋体" w:hAnsi="宋体" w:eastAsia="宋体" w:cs="宋体"/>
          <w:sz w:val="36"/>
          <w:szCs w:val="36"/>
          <w:highlight w:val="none"/>
          <w:lang w:eastAsia="zh-CN"/>
        </w:rPr>
      </w:pPr>
      <w:r>
        <w:rPr>
          <w:rFonts w:hint="eastAsia" w:ascii="宋体" w:hAnsi="宋体" w:eastAsia="宋体" w:cs="宋体"/>
          <w:sz w:val="36"/>
          <w:szCs w:val="36"/>
          <w:highlight w:val="none"/>
        </w:rPr>
        <w:t xml:space="preserve">采购人：</w:t>
      </w:r>
      <w:r>
        <w:rPr>
          <w:rFonts w:hint="eastAsia" w:ascii="宋体" w:hAnsi="宋体" w:eastAsia="宋体" w:cs="宋体"/>
          <w:sz w:val="36"/>
          <w:szCs w:val="36"/>
          <w:highlight w:val="none"/>
          <w:lang w:eastAsia="zh-CN"/>
        </w:rPr>
        <w:t xml:space="preserve">南京溧水经济开发区管理委员会</w:t>
      </w:r>
      <w:r/>
    </w:p>
    <w:p>
      <w:pPr>
        <w:ind w:left="698"/>
        <w:rPr>
          <w:rFonts w:hint="eastAsia" w:ascii="宋体" w:hAnsi="宋体" w:eastAsia="宋体" w:cs="宋体"/>
          <w:sz w:val="36"/>
          <w:szCs w:val="36"/>
          <w:highlight w:val="none"/>
        </w:rPr>
      </w:pPr>
      <w:r>
        <w:rPr>
          <w:rFonts w:hint="eastAsia" w:ascii="宋体" w:hAnsi="宋体" w:eastAsia="宋体" w:cs="宋体"/>
          <w:sz w:val="36"/>
          <w:szCs w:val="36"/>
          <w:highlight w:val="none"/>
        </w:rPr>
      </w:r>
      <w:r/>
    </w:p>
    <w:p>
      <w:pPr>
        <w:ind w:left="698"/>
        <w:rPr>
          <w:rFonts w:hint="eastAsia" w:ascii="宋体" w:hAnsi="宋体" w:eastAsia="宋体" w:cs="宋体"/>
          <w:sz w:val="36"/>
          <w:szCs w:val="36"/>
          <w:highlight w:val="none"/>
          <w:lang w:eastAsia="zh-CN"/>
        </w:rPr>
      </w:pPr>
      <w:r>
        <w:rPr>
          <w:rFonts w:hint="eastAsia" w:ascii="宋体" w:hAnsi="宋体" w:eastAsia="宋体" w:cs="宋体"/>
          <w:sz w:val="36"/>
          <w:szCs w:val="36"/>
          <w:highlight w:val="none"/>
        </w:rPr>
        <w:t xml:space="preserve">采购代理机构：</w:t>
      </w:r>
      <w:r>
        <w:rPr>
          <w:rFonts w:hint="eastAsia" w:ascii="宋体" w:hAnsi="宋体" w:eastAsia="宋体" w:cs="宋体"/>
          <w:sz w:val="36"/>
          <w:szCs w:val="36"/>
          <w:highlight w:val="none"/>
          <w:lang w:eastAsia="zh-CN"/>
        </w:rPr>
        <w:t xml:space="preserve">南京卓诚工程造价咨询有限公司</w:t>
      </w:r>
      <w:r/>
    </w:p>
    <w:p>
      <w:pPr>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925"/>
        <w:ind w:firstLine="0"/>
        <w:jc w:val="center"/>
        <w:rPr>
          <w:rFonts w:hint="eastAsia" w:ascii="宋体" w:hAnsi="宋体" w:eastAsia="宋体" w:cs="宋体"/>
          <w:b/>
          <w:bCs/>
          <w:sz w:val="32"/>
          <w:highlight w:val="none"/>
        </w:rPr>
      </w:pPr>
      <w:r>
        <w:rPr>
          <w:rFonts w:hint="eastAsia" w:ascii="宋体" w:hAnsi="宋体" w:eastAsia="宋体" w:cs="宋体"/>
          <w:sz w:val="36"/>
          <w:szCs w:val="36"/>
          <w:highlight w:val="none"/>
        </w:rPr>
        <w:t xml:space="preserve">二○二五年</w:t>
      </w:r>
      <w:r>
        <w:rPr>
          <w:rFonts w:hint="eastAsia" w:ascii="宋体" w:hAnsi="宋体" w:eastAsia="宋体" w:cs="宋体"/>
          <w:sz w:val="36"/>
          <w:szCs w:val="36"/>
          <w:highlight w:val="none"/>
          <w:lang w:val="en-US" w:eastAsia="zh-CN"/>
        </w:rPr>
        <w:t xml:space="preserve">十二</w:t>
      </w:r>
      <w:r>
        <w:rPr>
          <w:rFonts w:hint="eastAsia" w:ascii="宋体" w:hAnsi="宋体" w:eastAsia="宋体" w:cs="宋体"/>
          <w:sz w:val="36"/>
          <w:szCs w:val="36"/>
          <w:highlight w:val="none"/>
        </w:rPr>
        <w:t xml:space="preserve">月</w:t>
      </w:r>
      <w:r/>
    </w:p>
    <w:p>
      <w:pPr>
        <w:ind w:right="1933" w:firstLine="1366"/>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ind w:right="1933" w:firstLine="1366"/>
        <w:jc w:val="center"/>
        <w:spacing w:line="85" w:lineRule="atLeast"/>
        <w:rPr>
          <w:rFonts w:hint="eastAsia" w:ascii="宋体" w:hAnsi="宋体" w:eastAsia="宋体" w:cs="宋体"/>
          <w:b/>
          <w:color w:val="000000"/>
          <w:sz w:val="4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0"/>
          <w:szCs w:val="24"/>
          <w:highlight w:val="none"/>
        </w:rPr>
      </w:r>
      <w:r/>
    </w:p>
    <w:p>
      <w:pPr>
        <w:ind w:right="1933" w:firstLine="1366"/>
        <w:jc w:val="center"/>
        <w:spacing w:line="85" w:lineRule="atLeast"/>
        <w:rPr>
          <w:rFonts w:hint="eastAsia" w:ascii="宋体" w:hAnsi="宋体" w:eastAsia="宋体" w:cs="宋体"/>
          <w:sz w:val="22"/>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0"/>
          <w:szCs w:val="24"/>
          <w:highlight w:val="none"/>
        </w:rPr>
        <w:t xml:space="preserve">目 录</w:t>
      </w:r>
      <w:r/>
    </w:p>
    <w:p>
      <w:pPr>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769"/>
        <w:tabs>
          <w:tab w:val="right" w:pos="9184" w:leader="hyphen"/>
        </w:tabs>
        <w:rPr>
          <w:rFonts w:hint="eastAsia" w:ascii="宋体" w:hAnsi="宋体" w:eastAsia="宋体" w:cs="宋体"/>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TOC \o "1-3" \h \u </w:instrText>
      </w:r>
      <w:r>
        <w:rPr>
          <w:rFonts w:hint="eastAsia" w:ascii="宋体" w:hAnsi="宋体" w:eastAsia="宋体" w:cs="宋体"/>
          <w:highlight w:val="none"/>
        </w:rPr>
        <w:fldChar w:fldCharType="separate"/>
      </w: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_Toc4305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第一章</w:t>
      </w:r>
      <w:r>
        <w:rPr>
          <w:rFonts w:hint="eastAsia" w:ascii="宋体" w:hAnsi="宋体" w:eastAsia="宋体" w:cs="宋体"/>
          <w:highlight w:val="none"/>
          <w:lang w:val="en-US" w:eastAsia="zh-CN"/>
        </w:rPr>
        <w:t xml:space="preserve"> </w:t>
      </w:r>
      <w:r>
        <w:rPr>
          <w:rFonts w:hint="eastAsia" w:ascii="宋体" w:hAnsi="宋体" w:eastAsia="宋体" w:cs="宋体"/>
          <w:highlight w:val="none"/>
        </w:rPr>
        <w:t xml:space="preserve">招标公告</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_Toc4305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1</w:t>
      </w:r>
      <w:r>
        <w:rPr>
          <w:rFonts w:hint="eastAsia" w:ascii="宋体" w:hAnsi="宋体" w:eastAsia="宋体" w:cs="宋体"/>
          <w:highlight w:val="none"/>
        </w:rPr>
        <w:fldChar w:fldCharType="end"/>
      </w:r>
      <w:r>
        <w:rPr>
          <w:rFonts w:hint="eastAsia" w:ascii="宋体" w:hAnsi="宋体" w:eastAsia="宋体" w:cs="宋体"/>
          <w:highlight w:val="none"/>
        </w:rPr>
        <w:fldChar w:fldCharType="end"/>
      </w:r>
      <w:r/>
    </w:p>
    <w:p>
      <w:pPr>
        <w:pStyle w:val="769"/>
        <w:tabs>
          <w:tab w:val="right" w:pos="9184" w:leader="hyphen"/>
        </w:tabs>
        <w:rPr>
          <w:rFonts w:hint="eastAsia" w:ascii="宋体" w:hAnsi="宋体" w:eastAsia="宋体" w:cs="宋体"/>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_Toc24824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第二章 投标人须知</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_Toc24824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5</w:t>
      </w:r>
      <w:r>
        <w:rPr>
          <w:rFonts w:hint="eastAsia" w:ascii="宋体" w:hAnsi="宋体" w:eastAsia="宋体" w:cs="宋体"/>
          <w:highlight w:val="none"/>
        </w:rPr>
        <w:fldChar w:fldCharType="end"/>
      </w:r>
      <w:r>
        <w:rPr>
          <w:rFonts w:hint="eastAsia" w:ascii="宋体" w:hAnsi="宋体" w:eastAsia="宋体" w:cs="宋体"/>
          <w:highlight w:val="none"/>
        </w:rPr>
        <w:fldChar w:fldCharType="end"/>
      </w:r>
      <w:r/>
    </w:p>
    <w:p>
      <w:pPr>
        <w:pStyle w:val="769"/>
        <w:tabs>
          <w:tab w:val="right" w:pos="9184" w:leader="hyphen"/>
        </w:tabs>
        <w:rPr>
          <w:rFonts w:hint="eastAsia" w:ascii="宋体" w:hAnsi="宋体" w:eastAsia="宋体" w:cs="宋体"/>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_Toc3616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第三章 评标标准</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_Toc3616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19</w:t>
      </w:r>
      <w:r>
        <w:rPr>
          <w:rFonts w:hint="eastAsia" w:ascii="宋体" w:hAnsi="宋体" w:eastAsia="宋体" w:cs="宋体"/>
          <w:highlight w:val="none"/>
        </w:rPr>
        <w:fldChar w:fldCharType="end"/>
      </w:r>
      <w:r>
        <w:rPr>
          <w:rFonts w:hint="eastAsia" w:ascii="宋体" w:hAnsi="宋体" w:eastAsia="宋体" w:cs="宋体"/>
          <w:highlight w:val="none"/>
        </w:rPr>
        <w:fldChar w:fldCharType="end"/>
      </w:r>
      <w:r/>
    </w:p>
    <w:p>
      <w:pPr>
        <w:pStyle w:val="769"/>
        <w:tabs>
          <w:tab w:val="right" w:pos="9184" w:leader="hyphen"/>
        </w:tabs>
        <w:rPr>
          <w:rFonts w:hint="eastAsia" w:ascii="宋体" w:hAnsi="宋体" w:eastAsia="宋体" w:cs="宋体"/>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_Toc26370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第四章 </w:t>
      </w:r>
      <w:r>
        <w:rPr>
          <w:rFonts w:hint="eastAsia" w:ascii="宋体" w:hAnsi="宋体" w:eastAsia="宋体" w:cs="宋体"/>
          <w:highlight w:val="none"/>
        </w:rPr>
        <w:t xml:space="preserve">采购</w:t>
      </w:r>
      <w:r>
        <w:rPr>
          <w:rFonts w:hint="eastAsia" w:ascii="宋体" w:hAnsi="宋体" w:eastAsia="宋体" w:cs="宋体"/>
          <w:highlight w:val="none"/>
        </w:rPr>
        <w:t xml:space="preserve">需求</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_Toc26370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21</w:t>
      </w:r>
      <w:r>
        <w:rPr>
          <w:rFonts w:hint="eastAsia" w:ascii="宋体" w:hAnsi="宋体" w:eastAsia="宋体" w:cs="宋体"/>
          <w:highlight w:val="none"/>
        </w:rPr>
        <w:fldChar w:fldCharType="end"/>
      </w:r>
      <w:r>
        <w:rPr>
          <w:rFonts w:hint="eastAsia" w:ascii="宋体" w:hAnsi="宋体" w:eastAsia="宋体" w:cs="宋体"/>
          <w:highlight w:val="none"/>
        </w:rPr>
        <w:fldChar w:fldCharType="end"/>
      </w:r>
      <w:r/>
    </w:p>
    <w:p>
      <w:pPr>
        <w:pStyle w:val="769"/>
        <w:tabs>
          <w:tab w:val="right" w:pos="9184" w:leader="hyphen"/>
        </w:tabs>
        <w:rPr>
          <w:rFonts w:hint="eastAsia" w:ascii="宋体" w:hAnsi="宋体" w:eastAsia="宋体" w:cs="宋体"/>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_Toc20414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第五章 合同草案条款及格式</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_Toc20414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31</w:t>
      </w:r>
      <w:r>
        <w:rPr>
          <w:rFonts w:hint="eastAsia" w:ascii="宋体" w:hAnsi="宋体" w:eastAsia="宋体" w:cs="宋体"/>
          <w:highlight w:val="none"/>
        </w:rPr>
        <w:fldChar w:fldCharType="end"/>
      </w:r>
      <w:r>
        <w:rPr>
          <w:rFonts w:hint="eastAsia" w:ascii="宋体" w:hAnsi="宋体" w:eastAsia="宋体" w:cs="宋体"/>
          <w:highlight w:val="none"/>
        </w:rPr>
        <w:fldChar w:fldCharType="end"/>
      </w:r>
      <w:r/>
    </w:p>
    <w:p>
      <w:pPr>
        <w:pStyle w:val="769"/>
        <w:tabs>
          <w:tab w:val="right" w:pos="9184" w:leader="hyphen"/>
        </w:tabs>
        <w:rPr>
          <w:rFonts w:hint="eastAsia" w:ascii="宋体" w:hAnsi="宋体" w:eastAsia="宋体" w:cs="宋体"/>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_Toc15895 </w:instrText>
      </w:r>
      <w:r>
        <w:rPr>
          <w:rFonts w:hint="eastAsia" w:ascii="宋体" w:hAnsi="宋体" w:eastAsia="宋体" w:cs="宋体"/>
          <w:highlight w:val="none"/>
        </w:rPr>
        <w:fldChar w:fldCharType="separate"/>
      </w:r>
      <w:r>
        <w:rPr>
          <w:rFonts w:hint="eastAsia" w:ascii="宋体" w:hAnsi="宋体" w:eastAsia="宋体" w:cs="宋体"/>
          <w:szCs w:val="36"/>
          <w:highlight w:val="none"/>
          <w:lang w:val="zh-CN"/>
        </w:rPr>
        <w:t xml:space="preserve">第六章 投标文件参考格式及附件</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_Toc15895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31</w:t>
      </w:r>
      <w:r>
        <w:rPr>
          <w:rFonts w:hint="eastAsia" w:ascii="宋体" w:hAnsi="宋体" w:eastAsia="宋体" w:cs="宋体"/>
          <w:highlight w:val="none"/>
        </w:rPr>
        <w:fldChar w:fldCharType="end"/>
      </w:r>
      <w:r>
        <w:rPr>
          <w:rFonts w:hint="eastAsia" w:ascii="宋体" w:hAnsi="宋体" w:eastAsia="宋体" w:cs="宋体"/>
          <w:highlight w:val="none"/>
        </w:rPr>
        <w:fldChar w:fldCharType="end"/>
      </w:r>
      <w:r/>
    </w:p>
    <w:p>
      <w:pPr>
        <w:rPr>
          <w:rFonts w:hint="eastAsia" w:ascii="宋体" w:hAnsi="宋体" w:eastAsia="宋体" w:cs="宋体"/>
          <w:highlight w:val="none"/>
        </w:rPr>
      </w:pPr>
      <w:r>
        <w:rPr>
          <w:rFonts w:hint="eastAsia" w:ascii="宋体" w:hAnsi="宋体" w:eastAsia="宋体" w:cs="宋体"/>
          <w:highlight w:val="none"/>
        </w:rPr>
        <w:fldChar w:fldCharType="end"/>
      </w:r>
      <w:r/>
    </w:p>
    <w:p>
      <w:pPr>
        <w:jc w:val="center"/>
        <w:spacing w:line="360" w:lineRule="auto"/>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361" w:right="1361" w:bottom="1361" w:left="1361" w:header="709" w:footer="709" w:gutter="0"/>
          <w:pgNumType w:start="1"/>
          <w:cols w:num="1" w:sep="0" w:space="1701" w:equalWidth="1"/>
          <w:docGrid w:linePitch="360"/>
        </w:sectPr>
        <w:outlineLvl w:val="0"/>
      </w:pPr>
      <w:r/>
      <w:bookmarkStart w:id="0" w:name="_Toc4305"/>
      <w:r/>
      <w:r/>
    </w:p>
    <w:p>
      <w:pPr>
        <w:jc w:val="center"/>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32"/>
          <w:highlight w:val="none"/>
        </w:rPr>
        <w:t xml:space="preserve">第一章 招标公告</w:t>
      </w:r>
      <w:bookmarkEnd w:id="0"/>
      <w:r/>
      <w:r/>
    </w:p>
    <w:p>
      <w:pPr>
        <w:ind w:firstLine="420"/>
        <w:spacing w:line="440" w:lineRule="exact"/>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u w:val="single"/>
          <w:lang w:eastAsia="zh-CN"/>
        </w:rPr>
        <w:t xml:space="preserve">团山消防站救援装备器材采购</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的潜在供应商应在</w:t>
      </w:r>
      <w:r>
        <w:rPr>
          <w:rFonts w:hint="eastAsia" w:ascii="宋体" w:hAnsi="宋体" w:eastAsia="宋体" w:cs="宋体"/>
          <w:color w:val="000000"/>
          <w:szCs w:val="21"/>
          <w:highlight w:val="none"/>
          <w:u w:val="single"/>
          <w:lang w:eastAsia="zh-CN"/>
        </w:rPr>
        <w:t xml:space="preserve">江苏政府采购网</w:t>
      </w:r>
      <w:r>
        <w:rPr>
          <w:rFonts w:hint="eastAsia" w:ascii="宋体" w:hAnsi="宋体" w:eastAsia="宋体" w:cs="宋体"/>
          <w:color w:val="000000"/>
          <w:szCs w:val="21"/>
          <w:highlight w:val="none"/>
        </w:rPr>
        <w:t xml:space="preserve">获取招标文件，并于</w:t>
      </w:r>
      <w:r>
        <w:rPr>
          <w:rFonts w:hint="eastAsia" w:ascii="宋体" w:hAnsi="宋体" w:eastAsia="宋体" w:cs="宋体"/>
          <w:color w:val="000000"/>
          <w:szCs w:val="21"/>
          <w:highlight w:val="none"/>
          <w:u w:val="single"/>
        </w:rPr>
        <w:t xml:space="preserve"> 202</w:t>
      </w:r>
      <w:r>
        <w:rPr>
          <w:rFonts w:hint="eastAsia" w:ascii="宋体" w:hAnsi="宋体" w:eastAsia="宋体" w:cs="宋体"/>
          <w:color w:val="000000"/>
          <w:szCs w:val="21"/>
          <w:highlight w:val="none"/>
          <w:u w:val="single"/>
          <w:lang w:val="en-US" w:eastAsia="zh-CN"/>
        </w:rPr>
        <w:t xml:space="preserve">6</w:t>
      </w:r>
      <w:r>
        <w:rPr>
          <w:rFonts w:hint="eastAsia" w:ascii="宋体" w:hAnsi="宋体" w:eastAsia="宋体" w:cs="宋体"/>
          <w:color w:val="000000"/>
          <w:szCs w:val="21"/>
          <w:highlight w:val="none"/>
          <w:u w:val="single"/>
        </w:rPr>
        <w:t xml:space="preserve">年</w:t>
      </w:r>
      <w:r>
        <w:rPr>
          <w:rFonts w:hint="eastAsia" w:ascii="宋体" w:hAnsi="宋体" w:eastAsia="宋体" w:cs="宋体"/>
          <w:color w:val="000000"/>
          <w:szCs w:val="21"/>
          <w:highlight w:val="none"/>
          <w:u w:val="single"/>
          <w:lang w:val="en-US" w:eastAsia="zh-CN"/>
        </w:rPr>
        <w:t xml:space="preserve">1</w:t>
      </w:r>
      <w:r>
        <w:rPr>
          <w:rFonts w:hint="eastAsia" w:ascii="宋体" w:hAnsi="宋体" w:eastAsia="宋体" w:cs="宋体"/>
          <w:color w:val="000000"/>
          <w:szCs w:val="21"/>
          <w:highlight w:val="none"/>
          <w:u w:val="single"/>
        </w:rPr>
        <w:t xml:space="preserve">月</w:t>
      </w:r>
      <w:r>
        <w:rPr>
          <w:rFonts w:hint="eastAsia" w:ascii="宋体" w:hAnsi="宋体" w:eastAsia="宋体" w:cs="宋体"/>
          <w:color w:val="000000"/>
          <w:szCs w:val="21"/>
          <w:highlight w:val="none"/>
          <w:u w:val="single"/>
          <w:lang w:val="en-US" w:eastAsia="zh-CN"/>
        </w:rPr>
        <w:t xml:space="preserve">19</w:t>
      </w:r>
      <w:r>
        <w:rPr>
          <w:rFonts w:hint="eastAsia" w:ascii="宋体" w:hAnsi="宋体" w:eastAsia="宋体" w:cs="宋体"/>
          <w:color w:val="000000"/>
          <w:szCs w:val="21"/>
          <w:highlight w:val="none"/>
          <w:u w:val="single"/>
        </w:rPr>
        <w:t xml:space="preserve">日</w:t>
      </w:r>
      <w:r>
        <w:rPr>
          <w:rFonts w:hint="eastAsia" w:ascii="宋体" w:hAnsi="宋体" w:eastAsia="宋体" w:cs="宋体"/>
          <w:color w:val="000000"/>
          <w:szCs w:val="21"/>
          <w:highlight w:val="none"/>
          <w:u w:val="single"/>
          <w:lang w:val="en-US" w:eastAsia="zh-CN"/>
        </w:rPr>
        <w:t xml:space="preserve">09</w:t>
      </w:r>
      <w:r>
        <w:rPr>
          <w:rFonts w:hint="eastAsia" w:ascii="宋体" w:hAnsi="宋体" w:eastAsia="宋体" w:cs="宋体"/>
          <w:color w:val="000000"/>
          <w:szCs w:val="21"/>
          <w:highlight w:val="none"/>
          <w:u w:val="single"/>
        </w:rPr>
        <w:t xml:space="preserve">点30分</w:t>
      </w:r>
      <w:r>
        <w:rPr>
          <w:rFonts w:hint="eastAsia" w:ascii="宋体" w:hAnsi="宋体" w:eastAsia="宋体" w:cs="宋体"/>
          <w:color w:val="000000"/>
          <w:szCs w:val="21"/>
          <w:highlight w:val="none"/>
        </w:rPr>
        <w:t xml:space="preserve">（北京时间）前提交投标文件。</w:t>
      </w:r>
      <w:r/>
    </w:p>
    <w:p>
      <w:pPr>
        <w:ind w:firstLine="422"/>
        <w:jc w:val="both"/>
        <w:spacing w:line="440" w:lineRule="exact"/>
        <w:rPr>
          <w:rFonts w:hint="eastAsia" w:ascii="宋体" w:hAnsi="宋体" w:eastAsia="宋体" w:cs="宋体"/>
          <w:b/>
          <w:bCs/>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highlight w:val="none"/>
        </w:rPr>
        <w:t xml:space="preserve">一、项目基本情况</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1.1项目编号：</w:t>
      </w:r>
      <w:r>
        <w:rPr>
          <w:rFonts w:hint="eastAsia" w:ascii="宋体" w:hAnsi="宋体" w:eastAsia="宋体" w:cs="宋体"/>
          <w:color w:val="000000"/>
          <w:szCs w:val="21"/>
          <w:highlight w:val="none"/>
          <w:lang w:eastAsia="zh-CN"/>
        </w:rPr>
        <w:t xml:space="preserve">JSZC-320117-NJ</w:t>
      </w:r>
      <w:r>
        <w:rPr>
          <w:rFonts w:hint="eastAsia" w:ascii="宋体" w:hAnsi="宋体" w:eastAsia="宋体" w:cs="宋体"/>
          <w:color w:val="000000"/>
          <w:szCs w:val="21"/>
          <w:highlight w:val="none"/>
          <w:lang w:val="en-US" w:eastAsia="zh-CN"/>
        </w:rPr>
        <w:t xml:space="preserve">Z</w:t>
      </w:r>
      <w:r>
        <w:rPr>
          <w:rFonts w:hint="eastAsia" w:ascii="宋体" w:hAnsi="宋体" w:eastAsia="宋体" w:cs="宋体"/>
          <w:color w:val="000000"/>
          <w:szCs w:val="21"/>
          <w:highlight w:val="none"/>
          <w:lang w:eastAsia="zh-CN"/>
        </w:rPr>
        <w:t xml:space="preserve">C-G2025-00</w:t>
      </w:r>
      <w:r>
        <w:rPr>
          <w:rFonts w:hint="eastAsia" w:ascii="宋体" w:hAnsi="宋体" w:eastAsia="宋体" w:cs="宋体"/>
          <w:color w:val="000000"/>
          <w:szCs w:val="21"/>
          <w:highlight w:val="none"/>
          <w:lang w:val="en-US" w:eastAsia="zh-CN"/>
        </w:rPr>
        <w:t xml:space="preserve">09</w:t>
      </w:r>
      <w:r>
        <w:rPr>
          <w:rFonts w:hint="eastAsia" w:ascii="宋体" w:hAnsi="宋体" w:eastAsia="宋体" w:cs="宋体"/>
          <w:color w:val="000000"/>
          <w:szCs w:val="21"/>
          <w:highlight w:val="none"/>
        </w:rPr>
        <w:t xml:space="preserve"> </w:t>
      </w:r>
      <w:r/>
    </w:p>
    <w:p>
      <w:pPr>
        <w:ind w:firstLine="420"/>
        <w:spacing w:line="440" w:lineRule="exact"/>
        <w:rPr>
          <w:rFonts w:hint="eastAsia" w:ascii="宋体" w:hAnsi="宋体" w:eastAsia="宋体" w:cs="宋体"/>
          <w:color w:val="000000"/>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1.2项目名称：</w:t>
      </w:r>
      <w:r>
        <w:rPr>
          <w:rFonts w:hint="eastAsia" w:ascii="宋体" w:hAnsi="宋体" w:eastAsia="宋体" w:cs="宋体"/>
          <w:color w:val="000000"/>
          <w:szCs w:val="21"/>
          <w:highlight w:val="none"/>
          <w:lang w:eastAsia="zh-CN"/>
        </w:rPr>
        <w:t xml:space="preserve">团山消防站救援装备器材采购</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1.3采购方式：公开招标 </w:t>
      </w:r>
      <w:r/>
    </w:p>
    <w:p>
      <w:pPr>
        <w:ind w:left="0" w:right="0" w:firstLine="420"/>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1.4预算金额：</w:t>
      </w:r>
      <w:r>
        <w:rPr>
          <w:rFonts w:hint="eastAsia" w:ascii="宋体" w:hAnsi="宋体" w:eastAsia="宋体" w:cs="宋体"/>
          <w:color w:val="000000"/>
          <w:sz w:val="21"/>
          <w:lang w:val="en-US" w:eastAsia="zh-CN"/>
        </w:rPr>
        <w:t xml:space="preserve">90</w:t>
      </w:r>
      <w:r>
        <w:rPr>
          <w:rFonts w:ascii="宋体" w:hAnsi="宋体" w:eastAsia="宋体" w:cs="宋体"/>
          <w:color w:val="000000"/>
          <w:sz w:val="21"/>
        </w:rPr>
        <w:t xml:space="preserve">万元</w:t>
      </w:r>
      <w:r/>
    </w:p>
    <w:p>
      <w:pPr>
        <w:ind w:left="0" w:right="0" w:firstLine="420"/>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1.5最高限价：</w:t>
      </w:r>
      <w:r>
        <w:rPr>
          <w:rFonts w:hint="eastAsia" w:ascii="宋体" w:hAnsi="宋体" w:eastAsia="宋体" w:cs="宋体"/>
          <w:color w:val="000000"/>
          <w:sz w:val="21"/>
          <w:highlight w:val="none"/>
          <w:lang w:val="en-US" w:eastAsia="zh-CN"/>
        </w:rPr>
        <w:t xml:space="preserve">89.4717</w:t>
      </w:r>
      <w:r>
        <w:rPr>
          <w:rFonts w:ascii="宋体" w:hAnsi="宋体" w:eastAsia="宋体" w:cs="宋体"/>
          <w:color w:val="000000"/>
          <w:sz w:val="21"/>
          <w:highlight w:val="none"/>
        </w:rPr>
        <w:t xml:space="preserve">万元，投标报价超过</w:t>
      </w:r>
      <w:r>
        <w:rPr>
          <w:rFonts w:ascii="宋体" w:hAnsi="宋体" w:eastAsia="宋体" w:cs="宋体"/>
          <w:color w:val="000000"/>
          <w:sz w:val="21"/>
        </w:rPr>
        <w:t xml:space="preserve">最高限价的按照无效标处理</w:t>
      </w:r>
      <w:r>
        <w:rPr>
          <w:rFonts w:hint="eastAsia" w:ascii="宋体" w:hAnsi="宋体" w:eastAsia="宋体" w:cs="宋体"/>
          <w:color w:val="000000"/>
          <w:szCs w:val="21"/>
          <w:highlight w:val="none"/>
          <w:lang w:val="en-US" w:eastAsia="zh-CN"/>
        </w:rPr>
        <w:t xml:space="preserve">。</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1.6采购需求：</w:t>
      </w:r>
      <w:r>
        <w:rPr>
          <w:rFonts w:hint="eastAsia" w:ascii="宋体" w:hAnsi="宋体" w:eastAsia="宋体" w:cs="宋体"/>
          <w:color w:val="000000"/>
          <w:szCs w:val="21"/>
          <w:highlight w:val="none"/>
          <w:lang w:val="en-US" w:eastAsia="zh-CN"/>
        </w:rPr>
        <w:t xml:space="preserve">本项目为满足消防站救援时装备器材的需求，采购救援装备器材等物资。</w:t>
      </w:r>
      <w:r>
        <w:rPr>
          <w:rFonts w:hint="eastAsia" w:ascii="宋体" w:hAnsi="宋体" w:eastAsia="宋体" w:cs="宋体"/>
          <w:color w:val="000000"/>
          <w:szCs w:val="21"/>
          <w:highlight w:val="none"/>
        </w:rPr>
        <w:t xml:space="preserve">具体详见招标文件第四章。</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1.7合同履行期限：合同签订后</w:t>
      </w:r>
      <w:r>
        <w:rPr>
          <w:rFonts w:hint="eastAsia" w:ascii="宋体" w:hAnsi="宋体" w:eastAsia="宋体" w:cs="宋体"/>
          <w:color w:val="000000"/>
          <w:szCs w:val="21"/>
          <w:highlight w:val="none"/>
          <w:lang w:val="en-US" w:eastAsia="zh-CN"/>
        </w:rPr>
        <w:t xml:space="preserve">30</w:t>
      </w:r>
      <w:r>
        <w:rPr>
          <w:rFonts w:hint="eastAsia" w:ascii="宋体" w:hAnsi="宋体" w:eastAsia="宋体" w:cs="宋体"/>
          <w:color w:val="000000"/>
          <w:szCs w:val="21"/>
          <w:highlight w:val="none"/>
        </w:rPr>
        <w:t xml:space="preserve">个</w:t>
      </w:r>
      <w:r>
        <w:rPr>
          <w:rFonts w:hint="eastAsia" w:ascii="宋体" w:hAnsi="宋体" w:eastAsia="宋体" w:cs="宋体"/>
          <w:color w:val="000000"/>
          <w:szCs w:val="21"/>
          <w:highlight w:val="none"/>
          <w:lang w:eastAsia="zh-CN"/>
        </w:rPr>
        <w:t xml:space="preserve">日历天</w:t>
      </w:r>
      <w:r>
        <w:rPr>
          <w:rFonts w:hint="eastAsia" w:ascii="宋体" w:hAnsi="宋体" w:eastAsia="宋体" w:cs="宋体"/>
          <w:color w:val="000000"/>
          <w:szCs w:val="21"/>
          <w:highlight w:val="none"/>
        </w:rPr>
        <w:t xml:space="preserve">内完成交付。</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1.8本项目</w:t>
      </w:r>
      <w:r>
        <w:rPr>
          <w:rFonts w:hint="eastAsia" w:ascii="宋体" w:hAnsi="宋体" w:eastAsia="宋体" w:cs="宋体"/>
          <w:color w:val="000000"/>
          <w:szCs w:val="21"/>
          <w:highlight w:val="none"/>
          <w:lang w:val="en-US" w:eastAsia="zh-CN"/>
        </w:rPr>
        <w:t xml:space="preserve">不</w:t>
      </w:r>
      <w:r>
        <w:rPr>
          <w:rFonts w:hint="eastAsia" w:ascii="宋体" w:hAnsi="宋体" w:eastAsia="宋体" w:cs="宋体"/>
          <w:color w:val="000000"/>
          <w:szCs w:val="21"/>
          <w:highlight w:val="none"/>
        </w:rPr>
        <w:t xml:space="preserve">接受进口产品投标</w:t>
      </w:r>
      <w:r>
        <w:rPr>
          <w:rFonts w:hint="eastAsia" w:ascii="宋体" w:hAnsi="宋体" w:eastAsia="宋体" w:cs="宋体"/>
          <w:color w:val="000000"/>
          <w:szCs w:val="21"/>
          <w:highlight w:val="none"/>
          <w:lang w:eastAsia="zh-CN"/>
        </w:rPr>
        <w:t xml:space="preserve">。</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lang w:val="en-US" w:eastAsia="zh-CN"/>
        </w:rPr>
        <w:t xml:space="preserve">1.9</w:t>
      </w:r>
      <w:r>
        <w:rPr>
          <w:rFonts w:hint="eastAsia" w:ascii="宋体" w:hAnsi="宋体" w:eastAsia="宋体" w:cs="宋体"/>
          <w:color w:val="000000"/>
          <w:szCs w:val="21"/>
          <w:highlight w:val="none"/>
        </w:rPr>
        <w:t xml:space="preserve">本项目</w:t>
      </w:r>
      <w:r>
        <w:rPr>
          <w:rFonts w:hint="eastAsia" w:ascii="宋体" w:hAnsi="宋体" w:eastAsia="宋体" w:cs="宋体"/>
          <w:color w:val="000000"/>
          <w:szCs w:val="21"/>
          <w:highlight w:val="none"/>
          <w:lang w:val="en-US" w:eastAsia="zh-CN"/>
        </w:rPr>
        <w:t xml:space="preserve">不</w:t>
      </w:r>
      <w:r>
        <w:rPr>
          <w:rFonts w:hint="eastAsia" w:ascii="宋体" w:hAnsi="宋体" w:eastAsia="宋体" w:cs="宋体"/>
          <w:color w:val="000000"/>
          <w:szCs w:val="21"/>
          <w:highlight w:val="none"/>
        </w:rPr>
        <w:t xml:space="preserve">接受</w:t>
      </w:r>
      <w:r>
        <w:rPr>
          <w:rFonts w:hint="eastAsia" w:ascii="宋体" w:hAnsi="宋体" w:eastAsia="宋体" w:cs="宋体"/>
          <w:color w:val="000000"/>
          <w:szCs w:val="21"/>
          <w:highlight w:val="none"/>
          <w:lang w:val="en-US" w:eastAsia="zh-CN"/>
        </w:rPr>
        <w:t xml:space="preserve">联合体</w:t>
      </w:r>
      <w:r>
        <w:rPr>
          <w:rFonts w:hint="eastAsia" w:ascii="宋体" w:hAnsi="宋体" w:eastAsia="宋体" w:cs="宋体"/>
          <w:color w:val="000000"/>
          <w:szCs w:val="21"/>
          <w:highlight w:val="none"/>
        </w:rPr>
        <w:t xml:space="preserve">投标</w:t>
      </w:r>
      <w:r>
        <w:rPr>
          <w:rFonts w:hint="eastAsia" w:ascii="宋体" w:hAnsi="宋体" w:eastAsia="宋体" w:cs="宋体"/>
          <w:color w:val="000000"/>
          <w:szCs w:val="21"/>
          <w:highlight w:val="none"/>
          <w:lang w:eastAsia="zh-CN"/>
        </w:rPr>
        <w:t xml:space="preserve">。</w:t>
      </w:r>
      <w:r/>
    </w:p>
    <w:p>
      <w:pPr>
        <w:ind w:firstLine="422"/>
        <w:jc w:val="both"/>
        <w:spacing w:line="440" w:lineRule="exact"/>
        <w:rPr>
          <w:rFonts w:hint="eastAsia" w:ascii="宋体" w:hAnsi="宋体" w:eastAsia="宋体" w:cs="宋体"/>
          <w:b/>
          <w:bCs/>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highlight w:val="none"/>
        </w:rPr>
        <w:t xml:space="preserve">二、申请人的资格要求</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2.1满足《中华人民共和国政府采购法》第二十二条规定：</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（1）具有独立承担民事责任的能力（提供法人或者其他组织的营业执照等证明材料）；</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（2）具有良好的商业信誉和健全的财务会计制度</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提供上一年度末</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2024年度</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的财务报表，复印件加盖公章）（法人或者其他组织成立未满一年的可以不提供）</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（3）具有履行合同所必需的设备和专业技术能力</w:t>
      </w:r>
      <w:r>
        <w:rPr>
          <w:rFonts w:hint="eastAsia" w:ascii="宋体" w:hAnsi="宋体" w:eastAsia="宋体" w:cs="宋体"/>
          <w:color w:val="000000"/>
          <w:szCs w:val="21"/>
          <w:highlight w:val="none"/>
        </w:rPr>
        <w:t xml:space="preserve">的</w:t>
      </w:r>
      <w:r>
        <w:rPr>
          <w:rFonts w:hint="eastAsia" w:ascii="宋体" w:hAnsi="宋体" w:eastAsia="宋体" w:cs="宋体"/>
          <w:color w:val="000000"/>
          <w:szCs w:val="21"/>
          <w:highlight w:val="none"/>
        </w:rPr>
        <w:t xml:space="preserve">书面</w:t>
      </w:r>
      <w:r>
        <w:rPr>
          <w:rFonts w:hint="eastAsia" w:ascii="宋体" w:hAnsi="宋体" w:eastAsia="宋体" w:cs="宋体"/>
          <w:color w:val="000000"/>
          <w:szCs w:val="21"/>
          <w:highlight w:val="none"/>
        </w:rPr>
        <w:t xml:space="preserve">声明</w:t>
      </w:r>
      <w:r>
        <w:rPr>
          <w:rFonts w:hint="eastAsia" w:ascii="宋体" w:hAnsi="宋体" w:eastAsia="宋体" w:cs="宋体"/>
          <w:color w:val="000000"/>
          <w:szCs w:val="21"/>
          <w:highlight w:val="none"/>
        </w:rPr>
        <w:t xml:space="preserve">（根据项目需求提供履行合同所必需的设备和专业技术能力的</w:t>
      </w:r>
      <w:r>
        <w:rPr>
          <w:rFonts w:hint="eastAsia" w:ascii="宋体" w:hAnsi="宋体" w:eastAsia="宋体" w:cs="宋体"/>
          <w:color w:val="000000"/>
          <w:szCs w:val="21"/>
          <w:highlight w:val="none"/>
        </w:rPr>
        <w:t xml:space="preserve">书面</w:t>
      </w:r>
      <w:r>
        <w:rPr>
          <w:rFonts w:hint="eastAsia" w:ascii="宋体" w:hAnsi="宋体" w:eastAsia="宋体" w:cs="宋体"/>
          <w:color w:val="000000"/>
          <w:szCs w:val="21"/>
          <w:highlight w:val="none"/>
        </w:rPr>
        <w:t xml:space="preserve">声明</w:t>
      </w:r>
      <w:r>
        <w:rPr>
          <w:rFonts w:hint="eastAsia" w:ascii="宋体" w:hAnsi="宋体" w:eastAsia="宋体" w:cs="宋体"/>
          <w:color w:val="000000"/>
          <w:szCs w:val="21"/>
          <w:highlight w:val="none"/>
        </w:rPr>
        <w:t xml:space="preserve">）；</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（4）有依法缴纳税收和社会保障资金的良好记录（提供参加本次政府采购活动前半年内（至少一个月）依法缴纳税收和社会保障资金的相关资料，复印件加盖公章）（成立未满一个月的可以不提供）；</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（5）参加政府采购活动前三年内，在经营活动中没有重大违法记录（提供参加本次政府采购活动前3年内在经营活动中没有重大违法记录的书面声明）；</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（6）法律、行政法规规定的其他条件。</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2.2落实政府采购政策需要满足的资格条件：</w:t>
      </w:r>
      <w:r>
        <w:rPr>
          <w:rFonts w:hint="eastAsia" w:ascii="宋体" w:hAnsi="宋体" w:eastAsia="宋体" w:cs="宋体"/>
          <w:color w:val="000000"/>
          <w:szCs w:val="21"/>
          <w:highlight w:val="none"/>
          <w:lang w:val="en-US" w:eastAsia="zh-CN"/>
        </w:rPr>
        <w:t xml:space="preserve">无</w:t>
      </w:r>
      <w:r>
        <w:rPr>
          <w:rFonts w:hint="eastAsia" w:ascii="宋体" w:hAnsi="宋体" w:eastAsia="宋体" w:cs="宋体"/>
          <w:color w:val="000000"/>
          <w:szCs w:val="21"/>
          <w:highlight w:val="none"/>
        </w:rPr>
        <w:t xml:space="preserve">。</w:t>
      </w:r>
      <w:r/>
    </w:p>
    <w:p>
      <w:pPr>
        <w:ind w:firstLine="422"/>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highlight w:val="none"/>
        </w:rPr>
        <w:t xml:space="preserve">2.3采购人根据项目的特殊要求规定的特定条件：</w:t>
      </w:r>
      <w:r>
        <w:rPr>
          <w:rFonts w:hint="eastAsia" w:ascii="宋体" w:hAnsi="宋体" w:eastAsia="宋体" w:cs="宋体"/>
          <w:color w:val="000000"/>
          <w:szCs w:val="21"/>
          <w:highlight w:val="none"/>
          <w:lang w:val="en-US" w:eastAsia="zh-CN"/>
        </w:rPr>
        <w:t xml:space="preserve">无</w:t>
      </w:r>
      <w:r>
        <w:rPr>
          <w:rFonts w:hint="eastAsia" w:ascii="宋体" w:hAnsi="宋体" w:eastAsia="宋体" w:cs="宋体"/>
          <w:color w:val="000000"/>
          <w:szCs w:val="21"/>
          <w:highlight w:val="none"/>
        </w:rPr>
        <w:t xml:space="preserve">。</w:t>
      </w:r>
      <w:r/>
    </w:p>
    <w:p>
      <w:pPr>
        <w:ind w:firstLine="422"/>
        <w:jc w:val="both"/>
        <w:spacing w:line="440" w:lineRule="exact"/>
        <w:rPr>
          <w:rFonts w:hint="eastAsia" w:ascii="宋体" w:hAnsi="宋体" w:eastAsia="宋体" w:cs="宋体"/>
          <w:b/>
          <w:bCs/>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highlight w:val="none"/>
        </w:rPr>
        <w:t xml:space="preserve">三、获取招标文件</w:t>
      </w:r>
      <w:r/>
    </w:p>
    <w:p>
      <w:pPr>
        <w:ind w:firstLine="420"/>
        <w:jc w:val="both"/>
        <w:spacing w:line="440" w:lineRule="exact"/>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3.1时间：2025年</w:t>
      </w:r>
      <w:r>
        <w:rPr>
          <w:rFonts w:hint="eastAsia" w:ascii="宋体" w:hAnsi="宋体" w:eastAsia="宋体" w:cs="宋体"/>
          <w:color w:val="000000"/>
          <w:szCs w:val="21"/>
          <w:highlight w:val="none"/>
          <w:lang w:val="en-US" w:eastAsia="zh-CN"/>
        </w:rPr>
        <w:t xml:space="preserve">12</w:t>
      </w:r>
      <w:r>
        <w:rPr>
          <w:rFonts w:hint="eastAsia" w:ascii="宋体" w:hAnsi="宋体" w:eastAsia="宋体" w:cs="宋体"/>
          <w:color w:val="000000"/>
          <w:szCs w:val="21"/>
          <w:highlight w:val="none"/>
        </w:rPr>
        <w:t xml:space="preserve">月</w:t>
      </w:r>
      <w:r>
        <w:rPr>
          <w:rFonts w:hint="eastAsia" w:ascii="宋体" w:hAnsi="宋体" w:eastAsia="宋体" w:cs="宋体"/>
          <w:color w:val="000000"/>
          <w:szCs w:val="21"/>
          <w:highlight w:val="none"/>
          <w:lang w:val="en-US" w:eastAsia="zh-CN"/>
        </w:rPr>
        <w:t xml:space="preserve">29</w:t>
      </w:r>
      <w:r>
        <w:rPr>
          <w:rFonts w:hint="eastAsia" w:ascii="宋体" w:hAnsi="宋体" w:eastAsia="宋体" w:cs="宋体"/>
          <w:color w:val="000000"/>
          <w:szCs w:val="21"/>
          <w:highlight w:val="none"/>
        </w:rPr>
        <w:t xml:space="preserve">日至202</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年</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月</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日，每天上午9:00至11:30，下午14:00至17:00（北京时间，法定节假日除外）</w:t>
      </w:r>
      <w:r/>
    </w:p>
    <w:p>
      <w:pPr>
        <w:ind w:firstLine="420"/>
        <w:jc w:val="both"/>
        <w:spacing w:line="440" w:lineRule="exact"/>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3.2地点：江苏政府采购网</w:t>
      </w:r>
      <w:r/>
    </w:p>
    <w:p>
      <w:pPr>
        <w:ind w:firstLine="420"/>
        <w:spacing w:line="440" w:lineRule="exact"/>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3.3获取方式：</w:t>
      </w:r>
      <w:r>
        <w:rPr>
          <w:rFonts w:hint="eastAsia" w:ascii="宋体" w:hAnsi="宋体" w:eastAsia="宋体" w:cs="宋体"/>
          <w:color w:val="000000"/>
          <w:sz w:val="22"/>
          <w:highlight w:val="none"/>
        </w:rPr>
        <w:t xml:space="preserve">网上下载</w:t>
      </w:r>
      <w:r>
        <w:rPr>
          <w:rFonts w:hint="eastAsia" w:ascii="宋体" w:hAnsi="宋体" w:eastAsia="宋体" w:cs="宋体"/>
          <w:color w:val="000000"/>
          <w:szCs w:val="21"/>
          <w:highlight w:val="none"/>
        </w:rPr>
        <w:t xml:space="preserve">。</w:t>
      </w:r>
      <w:r/>
    </w:p>
    <w:p>
      <w:pPr>
        <w:ind w:firstLine="422"/>
        <w:jc w:val="both"/>
        <w:spacing w:line="440" w:lineRule="exact"/>
        <w:rPr>
          <w:rFonts w:hint="eastAsia" w:ascii="宋体" w:hAnsi="宋体" w:eastAsia="宋体" w:cs="宋体"/>
          <w:b/>
          <w:bCs/>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highlight w:val="none"/>
        </w:rPr>
        <w:t xml:space="preserve">四、</w:t>
      </w:r>
      <w:r>
        <w:rPr>
          <w:rFonts w:hint="eastAsia" w:ascii="宋体" w:hAnsi="宋体" w:eastAsia="宋体" w:cs="宋体"/>
          <w:b/>
          <w:color w:val="000000"/>
          <w:szCs w:val="21"/>
          <w:highlight w:val="none"/>
        </w:rPr>
        <w:t xml:space="preserve">响应文件提交</w:t>
      </w:r>
      <w:r/>
    </w:p>
    <w:p>
      <w:pPr>
        <w:ind w:firstLine="420"/>
        <w:spacing w:line="4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截止时间：202</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lang w:val="en-US" w:eastAsia="zh-CN"/>
        </w:rPr>
        <w:t xml:space="preserve">19</w:t>
      </w:r>
      <w:r>
        <w:rPr>
          <w:rFonts w:hint="eastAsia" w:ascii="宋体" w:hAnsi="宋体" w:eastAsia="宋体" w:cs="宋体"/>
          <w:color w:val="000000"/>
          <w:highlight w:val="none"/>
        </w:rPr>
        <w:t xml:space="preserve">日</w:t>
      </w:r>
      <w:r>
        <w:rPr>
          <w:rFonts w:hint="eastAsia" w:ascii="宋体" w:hAnsi="宋体" w:eastAsia="宋体" w:cs="宋体"/>
          <w:color w:val="000000"/>
          <w:highlight w:val="none"/>
          <w:lang w:val="en-US" w:eastAsia="zh-CN"/>
        </w:rPr>
        <w:t xml:space="preserve">09</w:t>
      </w:r>
      <w:r>
        <w:rPr>
          <w:rFonts w:hint="eastAsia" w:ascii="宋体" w:hAnsi="宋体" w:eastAsia="宋体" w:cs="宋体"/>
          <w:color w:val="000000"/>
          <w:highlight w:val="none"/>
        </w:rPr>
        <w:t xml:space="preserve">点30分（北京时间）</w:t>
      </w:r>
      <w:r/>
    </w:p>
    <w:p>
      <w:pPr>
        <w:ind w:firstLine="420"/>
        <w:spacing w:line="4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地点：江苏省政府采购交易系统（以下简称“苏采云系统”）网上开标大厅</w:t>
      </w:r>
      <w:r/>
    </w:p>
    <w:p>
      <w:pPr>
        <w:ind w:firstLine="422"/>
        <w:spacing w:line="440" w:lineRule="exact"/>
        <w:rPr>
          <w:rFonts w:hint="eastAsia" w:ascii="宋体" w:hAnsi="宋体" w:eastAsia="宋体" w:cs="宋体"/>
          <w:b/>
          <w:color w:val="000000"/>
          <w:szCs w:val="21"/>
          <w:highlight w:val="none"/>
        </w:rPr>
      </w:pPr>
      <w:r/>
      <w:bookmarkStart w:id="1" w:name="_Toc4723"/>
      <w:r>
        <w:rPr>
          <w:rFonts w:hint="eastAsia" w:ascii="宋体" w:hAnsi="宋体" w:eastAsia="宋体" w:cs="宋体"/>
          <w:b/>
          <w:color w:val="000000"/>
          <w:szCs w:val="21"/>
          <w:highlight w:val="none"/>
        </w:rPr>
        <w:t xml:space="preserve">五、开启</w:t>
      </w:r>
      <w:bookmarkEnd w:id="1"/>
      <w:r/>
      <w:r/>
    </w:p>
    <w:p>
      <w:pPr>
        <w:ind w:firstLine="420"/>
        <w:spacing w:line="4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时间：202</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lang w:val="en-US" w:eastAsia="zh-CN"/>
        </w:rPr>
        <w:t xml:space="preserve">19</w:t>
      </w:r>
      <w:r>
        <w:rPr>
          <w:rFonts w:hint="eastAsia" w:ascii="宋体" w:hAnsi="宋体" w:eastAsia="宋体" w:cs="宋体"/>
          <w:color w:val="000000"/>
          <w:highlight w:val="none"/>
        </w:rPr>
        <w:t xml:space="preserve">日</w:t>
      </w:r>
      <w:r>
        <w:rPr>
          <w:rFonts w:hint="eastAsia" w:ascii="宋体" w:hAnsi="宋体" w:eastAsia="宋体" w:cs="宋体"/>
          <w:color w:val="000000"/>
          <w:highlight w:val="none"/>
          <w:lang w:val="en-US" w:eastAsia="zh-CN"/>
        </w:rPr>
        <w:t xml:space="preserve">09</w:t>
      </w:r>
      <w:r>
        <w:rPr>
          <w:rFonts w:hint="eastAsia" w:ascii="宋体" w:hAnsi="宋体" w:eastAsia="宋体" w:cs="宋体"/>
          <w:color w:val="000000"/>
          <w:highlight w:val="none"/>
        </w:rPr>
        <w:t xml:space="preserve">点30分（北京时间）</w:t>
      </w:r>
      <w:r/>
    </w:p>
    <w:p>
      <w:pPr>
        <w:ind w:firstLine="420"/>
        <w:jc w:val="both"/>
        <w:spacing w:line="440" w:lineRule="exact"/>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地点：江苏省政府采购交易系统（以下简称“苏采云系统”）网上开标大厅</w:t>
      </w:r>
      <w:r>
        <w:rPr>
          <w:rFonts w:hint="eastAsia" w:ascii="宋体" w:hAnsi="宋体" w:eastAsia="宋体" w:cs="宋体"/>
          <w:color w:val="000000"/>
          <w:sz w:val="22"/>
          <w:highlight w:val="none"/>
        </w:rPr>
        <w:t xml:space="preserve">。</w:t>
      </w:r>
      <w:r/>
    </w:p>
    <w:p>
      <w:pPr>
        <w:ind w:firstLine="422"/>
        <w:jc w:val="both"/>
        <w:spacing w:line="440" w:lineRule="exact"/>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highlight w:val="none"/>
        </w:rPr>
        <w:t xml:space="preserve">六、公告期限</w:t>
      </w:r>
      <w:r/>
    </w:p>
    <w:p>
      <w:pPr>
        <w:ind w:firstLine="420"/>
        <w:jc w:val="both"/>
        <w:spacing w:line="440" w:lineRule="exact"/>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自本公告发布之日起5个工作日。</w:t>
      </w:r>
      <w:r/>
    </w:p>
    <w:p>
      <w:pPr>
        <w:ind w:firstLine="422"/>
        <w:jc w:val="both"/>
        <w:spacing w:line="440" w:lineRule="exact"/>
        <w:rPr>
          <w:rFonts w:hint="eastAsia" w:ascii="宋体" w:hAnsi="宋体" w:eastAsia="宋体" w:cs="宋体"/>
          <w:b/>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highlight w:val="none"/>
        </w:rPr>
        <w:t xml:space="preserve">七、其他补充事宜</w:t>
      </w:r>
      <w:r/>
    </w:p>
    <w:p>
      <w:pPr>
        <w:ind w:firstLine="420"/>
        <w:jc w:val="both"/>
        <w:spacing w:line="440" w:lineRule="exact"/>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highlight w:val="none"/>
        </w:rPr>
        <w:t xml:space="preserve">7.1本项目采购标的对应的中小企业划分标准所属行业为：工业。</w:t>
      </w:r>
      <w:r/>
    </w:p>
    <w:p>
      <w:pPr>
        <w:ind w:firstLine="420"/>
        <w:jc w:val="both"/>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7.2拒绝下述供应商参加本次采购活动：</w:t>
      </w:r>
      <w:r/>
    </w:p>
    <w:p>
      <w:pPr>
        <w:ind w:firstLine="420"/>
        <w:jc w:val="both"/>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（1）供应商单位负责人为同一人或者存在直接控股、管理关系的不同供应商，不得参加同一合同项下的政府采购活动。</w:t>
      </w:r>
      <w:r/>
    </w:p>
    <w:p>
      <w:pPr>
        <w:ind w:firstLine="420"/>
        <w:jc w:val="both"/>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（2）为采购项目提供整体设计、规范编制或者项目管理、监理、检测等服务的供应商，不得参加本项目的采购活动。</w:t>
      </w:r>
      <w:r/>
    </w:p>
    <w:p>
      <w:pPr>
        <w:ind w:firstLine="420"/>
        <w:jc w:val="both"/>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（3）供应商被“信用中国”网站（www.creditchina.gov.cn）、“中国政府采购网”(www.ccgp.gov.cn)列入失信被执行人、重大税收违法案件当事人名单、政府采购严重违法失信行为记录名单。</w:t>
      </w:r>
      <w:r/>
    </w:p>
    <w:p>
      <w:pPr>
        <w:ind w:firstLine="420"/>
        <w:jc w:val="both"/>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（4）供应商未提供《南京市政府采购供应商信用记录表暨信用承诺书》。</w:t>
      </w:r>
      <w:r/>
    </w:p>
    <w:p>
      <w:pPr>
        <w:ind w:firstLine="420"/>
        <w:keepLines w:val="0"/>
        <w:keepNext w:val="0"/>
        <w:pageBreakBefore w:val="0"/>
        <w:spacing w:line="440" w:lineRule="exact"/>
        <w:widowControl/>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7.3 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rPr>
        <w:t xml:space="preserve">jiangsu.gov.cn/jiangsu/zlxz/ee/ee3a4bc5a3454aa2b0d9312230633ce9.html）。“苏采云”南京地区客服热线025-83633744、025-83633743。</w:t>
      </w:r>
      <w:r/>
    </w:p>
    <w:p>
      <w:pPr>
        <w:ind w:firstLine="420"/>
        <w:jc w:val="both"/>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7.4有关本次招标的事项若存在变动或修改，请及时关注“江苏政府采购网”（www.ccgp-jiangsu.gov.cn）更正公告。</w:t>
      </w:r>
      <w:r/>
    </w:p>
    <w:p>
      <w:pPr>
        <w:ind w:firstLine="420"/>
        <w:jc w:val="both"/>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7.5 政府采购信用承诺</w:t>
      </w:r>
      <w:r/>
    </w:p>
    <w:p>
      <w:pPr>
        <w:ind w:firstLine="420"/>
        <w:keepLines w:val="0"/>
        <w:keepNext w:val="0"/>
        <w:pageBreakBefore w:val="0"/>
        <w:spacing w:line="440" w:lineRule="exact"/>
        <w:widowControl/>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w:t>
      </w:r>
      <w:r>
        <w:rPr>
          <w:rFonts w:hint="eastAsia" w:ascii="宋体" w:hAnsi="宋体" w:eastAsia="宋体" w:cs="宋体"/>
          <w:color w:val="000000"/>
          <w:szCs w:val="21"/>
          <w:highlight w:val="none"/>
        </w:rPr>
        <w:t xml:space="preserve">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w:t>
      </w:r>
      <w:r/>
    </w:p>
    <w:p>
      <w:pPr>
        <w:ind w:firstLine="420"/>
        <w:jc w:val="both"/>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在政府采购资格审查环节，供应商只需提供书面《南京市政府采购供应商信用记录表暨信用承诺书》，即可替代以下证明材料:</w:t>
      </w:r>
      <w:r/>
    </w:p>
    <w:p>
      <w:pPr>
        <w:ind w:firstLine="420"/>
        <w:jc w:val="both"/>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（1）符合国家相关规定的财务状况报告；</w:t>
      </w:r>
      <w:r/>
    </w:p>
    <w:p>
      <w:pPr>
        <w:ind w:firstLine="420"/>
        <w:jc w:val="both"/>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（2）依法缴纳税收的证明材料；</w:t>
      </w:r>
      <w:r/>
    </w:p>
    <w:p>
      <w:pPr>
        <w:ind w:firstLine="420"/>
        <w:jc w:val="both"/>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（3）依法缴纳社会保障资金的证明材料；</w:t>
      </w:r>
      <w:r/>
    </w:p>
    <w:p>
      <w:pPr>
        <w:ind w:firstLine="420"/>
        <w:jc w:val="both"/>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（4）具备履行政府采购合同所必需的设备和专业技术能力的证明材料；</w:t>
      </w:r>
      <w:r/>
    </w:p>
    <w:p>
      <w:pPr>
        <w:ind w:firstLine="420"/>
        <w:jc w:val="both"/>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（5）参加政府采购活动前三年内在经营活动中没有重大违法记录的证明材料；</w:t>
      </w:r>
      <w:r/>
    </w:p>
    <w:p>
      <w:pPr>
        <w:ind w:firstLine="420"/>
        <w:jc w:val="both"/>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（6）未被列入失信被执行人、重大税收违法失信主体、政府采购严重违法失信行为记录名单的证明材料。</w:t>
      </w:r>
      <w:r/>
    </w:p>
    <w:p>
      <w:pPr>
        <w:ind w:firstLine="420"/>
        <w:jc w:val="both"/>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供应商在中标后，应按采购文件要求，将上述由信用承诺书替代的证明材料（一式两份）加盖公章，提交采购人或采购代理机构核验。经核验无误后，由采购人或采购代理机构发出中标通知书。</w:t>
      </w:r>
      <w:r/>
    </w:p>
    <w:p>
      <w:pPr>
        <w:ind w:firstLine="420"/>
        <w:jc w:val="both"/>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供应商涉及以下情形的，不适用信用承诺:</w:t>
      </w:r>
      <w:r/>
    </w:p>
    <w:p>
      <w:pPr>
        <w:ind w:firstLine="420"/>
        <w:jc w:val="both"/>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（1）供应商被列入严重失信主体名单；</w:t>
      </w:r>
      <w:r/>
    </w:p>
    <w:p>
      <w:pPr>
        <w:ind w:firstLine="420"/>
        <w:jc w:val="both"/>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（2）被相关监管部门作出行政处罚且尚在处罚有效期内；</w:t>
      </w:r>
      <w:r/>
    </w:p>
    <w:p>
      <w:pPr>
        <w:ind w:firstLine="420"/>
        <w:jc w:val="both"/>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（3）其他法律、行政法规规定的不适用信用承诺的情形；</w:t>
      </w:r>
      <w:r/>
    </w:p>
    <w:p>
      <w:pPr>
        <w:ind w:firstLine="420"/>
        <w:jc w:val="both"/>
        <w:spacing w:line="440" w:lineRule="exact"/>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供应商对信用承诺内容的真实性、合法性、有效性负责。如作出虚假信用承诺，视同为“提供虚假材料谋取中标、成交”的违法行为。</w:t>
      </w:r>
      <w:r/>
    </w:p>
    <w:p>
      <w:pPr>
        <w:ind w:firstLine="420"/>
        <w:jc w:val="both"/>
        <w:spacing w:line="440" w:lineRule="exact"/>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7.6落实政府采购政策需满足：</w:t>
      </w:r>
      <w:r/>
    </w:p>
    <w:p>
      <w:pPr>
        <w:ind w:firstLine="420"/>
        <w:jc w:val="both"/>
        <w:spacing w:line="440" w:lineRule="exact"/>
        <w:rPr>
          <w:rFonts w:hint="eastAsia" w:ascii="宋体" w:hAnsi="宋体" w:eastAsia="宋体" w:cs="宋体"/>
          <w:color w:val="000000"/>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lang w:eastAsia="zh-CN"/>
        </w:rPr>
        <w:t xml:space="preserve">本项目整体专门面向中小企业采购。</w:t>
      </w:r>
      <w:r/>
    </w:p>
    <w:p>
      <w:pPr>
        <w:ind w:firstLine="420"/>
        <w:jc w:val="both"/>
        <w:spacing w:line="440" w:lineRule="exact"/>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7.7相同品牌产品投标要求</w:t>
      </w:r>
      <w:r/>
    </w:p>
    <w:p>
      <w:pPr>
        <w:ind w:firstLine="420"/>
        <w:jc w:val="both"/>
        <w:spacing w:line="440" w:lineRule="exact"/>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采用综合评分法的采购项目：提供相同品牌产品且通过资格性审查、符合性审查的不同供应商参加本项目投标的，按一家供应商计算，评审后得分最高的同品牌供应商获得中标人推荐资格；评审得分相同的，由采购人或者采购人委托评标委员会按照随机抽取的方式确定中标人推荐资格，其他同品牌供应商不作为中标候选人；</w:t>
      </w:r>
      <w:r/>
    </w:p>
    <w:p>
      <w:pPr>
        <w:ind w:firstLine="420"/>
        <w:jc w:val="both"/>
        <w:spacing w:line="440" w:lineRule="exact"/>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w:t>
      </w:r>
      <w:r>
        <w:rPr>
          <w:rFonts w:hint="eastAsia" w:ascii="宋体" w:hAnsi="宋体" w:eastAsia="宋体" w:cs="宋体"/>
          <w:color w:val="000000"/>
          <w:highlight w:val="none"/>
        </w:rPr>
        <w:t xml:space="preserve">在</w:t>
      </w:r>
      <w:r>
        <w:rPr>
          <w:rFonts w:hint="eastAsia" w:ascii="宋体" w:hAnsi="宋体" w:eastAsia="宋体" w:cs="宋体"/>
          <w:color w:val="000000"/>
          <w:highlight w:val="none"/>
          <w:lang w:eastAsia="zh-CN"/>
        </w:rPr>
        <w:t xml:space="preserve">非</w:t>
      </w:r>
      <w:r>
        <w:rPr>
          <w:rFonts w:hint="eastAsia" w:ascii="宋体" w:hAnsi="宋体" w:eastAsia="宋体" w:cs="宋体"/>
          <w:color w:val="000000"/>
          <w:highlight w:val="none"/>
        </w:rPr>
        <w:t xml:space="preserve">单一品目的货物采购招标中，</w:t>
      </w:r>
      <w:r>
        <w:rPr>
          <w:rFonts w:hint="default" w:ascii="宋体" w:hAnsi="宋体" w:eastAsia="宋体" w:cs="宋体"/>
          <w:color w:val="000000"/>
          <w:highlight w:val="none"/>
        </w:rPr>
        <w:t xml:space="preserve">多家投标人提供的核心产品品牌相同的，按</w:t>
      </w:r>
      <w:r>
        <w:rPr>
          <w:rFonts w:hint="eastAsia" w:ascii="宋体" w:hAnsi="宋体" w:eastAsia="宋体" w:cs="宋体"/>
          <w:color w:val="000000"/>
          <w:highlight w:val="none"/>
          <w:lang w:eastAsia="zh-CN"/>
        </w:rPr>
        <w:t xml:space="preserve">以上</w:t>
      </w:r>
      <w:r>
        <w:rPr>
          <w:rFonts w:hint="default" w:ascii="宋体" w:hAnsi="宋体" w:eastAsia="宋体" w:cs="宋体"/>
          <w:color w:val="000000"/>
          <w:highlight w:val="none"/>
        </w:rPr>
        <w:t xml:space="preserve">规定处理</w:t>
      </w:r>
      <w:r>
        <w:rPr>
          <w:rFonts w:hint="eastAsia" w:ascii="宋体" w:hAnsi="宋体" w:eastAsia="宋体" w:cs="宋体"/>
          <w:color w:val="000000"/>
          <w:szCs w:val="21"/>
          <w:highlight w:val="none"/>
        </w:rPr>
        <w:t xml:space="preserve">。</w:t>
      </w:r>
      <w:r/>
    </w:p>
    <w:p>
      <w:pPr>
        <w:ind w:firstLine="420"/>
        <w:spacing w:line="440" w:lineRule="exact"/>
        <w:rPr>
          <w:rFonts w:hint="eastAsia" w:ascii="宋体" w:hAnsi="宋体" w:eastAsia="宋体" w:cs="宋体"/>
          <w:bCs/>
          <w:szCs w:val="21"/>
          <w:highlight w:val="none"/>
        </w:rPr>
      </w:pPr>
      <w:r>
        <w:rPr>
          <w:rFonts w:hint="eastAsia" w:ascii="宋体" w:hAnsi="宋体" w:eastAsia="宋体" w:cs="宋体"/>
          <w:color w:val="000000"/>
          <w:szCs w:val="21"/>
          <w:highlight w:val="none"/>
        </w:rPr>
        <w:t xml:space="preserve">7.8</w:t>
      </w:r>
      <w:r>
        <w:rPr>
          <w:rFonts w:hint="eastAsia" w:ascii="宋体" w:hAnsi="宋体" w:eastAsia="宋体" w:cs="宋体"/>
          <w:bCs/>
          <w:szCs w:val="21"/>
          <w:highlight w:val="none"/>
        </w:rPr>
        <w:t xml:space="preserve">本次采购公告在“江苏政府采购网”上发布，有关本次采购的事项若存在变动或修改，敬请及时关注“江苏政府采购网”发布的信息更正公告，其责任由供应商自行承担。</w:t>
      </w:r>
      <w:r/>
    </w:p>
    <w:p>
      <w:pPr>
        <w:ind w:firstLine="422"/>
        <w:jc w:val="both"/>
        <w:spacing w:line="440" w:lineRule="exact"/>
        <w:rPr>
          <w:rFonts w:hint="eastAsia" w:ascii="宋体" w:hAnsi="宋体" w:eastAsia="宋体" w:cs="宋体"/>
          <w:b/>
          <w:bCs/>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highlight w:val="none"/>
        </w:rPr>
        <w:t xml:space="preserve">八、对本次招标提出询问，请按以下方式联系</w:t>
      </w:r>
      <w:r/>
    </w:p>
    <w:p>
      <w:pPr>
        <w:ind w:firstLine="420"/>
        <w:jc w:val="both"/>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1.采购人信息</w:t>
      </w:r>
      <w:r/>
    </w:p>
    <w:p>
      <w:pPr>
        <w:ind w:firstLine="420"/>
        <w:jc w:val="both"/>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名称：</w:t>
      </w:r>
      <w:r>
        <w:rPr>
          <w:rFonts w:hint="eastAsia" w:ascii="宋体" w:hAnsi="宋体" w:eastAsia="宋体" w:cs="宋体"/>
          <w:color w:val="000000"/>
          <w:szCs w:val="21"/>
          <w:highlight w:val="none"/>
          <w:lang w:eastAsia="zh-CN"/>
        </w:rPr>
        <w:t xml:space="preserve">南京溧水经济开发区管理委员会</w:t>
      </w:r>
      <w:r>
        <w:rPr>
          <w:rFonts w:hint="eastAsia" w:ascii="宋体" w:hAnsi="宋体" w:eastAsia="宋体" w:cs="宋体"/>
          <w:color w:val="000000"/>
          <w:szCs w:val="21"/>
          <w:highlight w:val="none"/>
        </w:rPr>
        <w:t xml:space="preserve">　　</w:t>
      </w:r>
      <w:r/>
    </w:p>
    <w:p>
      <w:pPr>
        <w:ind w:firstLine="420"/>
        <w:jc w:val="both"/>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地址：南京市溧水区</w:t>
      </w:r>
      <w:r>
        <w:rPr>
          <w:rFonts w:hint="eastAsia" w:ascii="宋体" w:hAnsi="宋体" w:eastAsia="宋体" w:cs="宋体"/>
          <w:color w:val="000000"/>
          <w:szCs w:val="21"/>
          <w:highlight w:val="none"/>
          <w:lang w:val="en-US" w:eastAsia="zh-CN"/>
        </w:rPr>
        <w:t xml:space="preserve">团山路8</w:t>
      </w:r>
      <w:r>
        <w:rPr>
          <w:rFonts w:hint="eastAsia" w:ascii="宋体" w:hAnsi="宋体" w:eastAsia="宋体" w:cs="宋体"/>
          <w:color w:val="000000"/>
          <w:szCs w:val="21"/>
          <w:highlight w:val="none"/>
        </w:rPr>
        <w:t xml:space="preserve">号 </w:t>
      </w:r>
      <w:r/>
    </w:p>
    <w:p>
      <w:pPr>
        <w:ind w:firstLine="420"/>
        <w:jc w:val="both"/>
        <w:spacing w:line="440" w:lineRule="exact"/>
        <w:rPr>
          <w:rFonts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联系人：</w:t>
      </w:r>
      <w:r>
        <w:rPr>
          <w:rFonts w:hint="eastAsia" w:ascii="宋体" w:hAnsi="宋体" w:eastAsia="宋体" w:cs="宋体"/>
          <w:color w:val="000000"/>
          <w:szCs w:val="21"/>
          <w:highlight w:val="none"/>
          <w:lang w:val="en-US" w:eastAsia="zh-CN"/>
        </w:rPr>
        <w:t xml:space="preserve">胡工</w:t>
      </w:r>
      <w:r/>
    </w:p>
    <w:p>
      <w:pPr>
        <w:ind w:firstLine="420"/>
        <w:jc w:val="both"/>
        <w:spacing w:line="440" w:lineRule="exact"/>
        <w:rPr>
          <w:rFonts w:hint="default" w:ascii="宋体" w:hAnsi="宋体" w:eastAsia="宋体" w:cs="宋体"/>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联系电话：</w:t>
      </w:r>
      <w:r>
        <w:rPr>
          <w:rFonts w:hint="eastAsia" w:ascii="宋体" w:hAnsi="宋体" w:eastAsia="宋体" w:cs="宋体"/>
          <w:color w:val="000000"/>
          <w:szCs w:val="21"/>
          <w:highlight w:val="none"/>
          <w:lang w:val="en-US" w:eastAsia="zh-CN"/>
        </w:rPr>
        <w:t xml:space="preserve">13276635581</w:t>
      </w:r>
      <w:r/>
    </w:p>
    <w:p>
      <w:pPr>
        <w:ind w:firstLine="420"/>
        <w:jc w:val="both"/>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2.采购代理机构信息</w:t>
      </w:r>
      <w:r/>
    </w:p>
    <w:p>
      <w:pPr>
        <w:ind w:firstLine="420"/>
        <w:jc w:val="both"/>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名称：</w:t>
      </w:r>
      <w:r>
        <w:rPr>
          <w:rFonts w:hint="eastAsia" w:ascii="宋体" w:hAnsi="宋体" w:eastAsia="宋体" w:cs="宋体"/>
          <w:color w:val="000000"/>
          <w:szCs w:val="21"/>
          <w:highlight w:val="none"/>
          <w:lang w:eastAsia="zh-CN"/>
        </w:rPr>
        <w:t xml:space="preserve">南京卓诚工程造价咨询有限公司</w:t>
      </w:r>
      <w:r>
        <w:rPr>
          <w:rFonts w:hint="eastAsia" w:ascii="宋体" w:hAnsi="宋体" w:eastAsia="宋体" w:cs="宋体"/>
          <w:color w:val="000000"/>
          <w:szCs w:val="21"/>
          <w:highlight w:val="none"/>
        </w:rPr>
        <w:t xml:space="preserve">　</w:t>
      </w:r>
      <w:r/>
    </w:p>
    <w:p>
      <w:pPr>
        <w:ind w:firstLine="420"/>
        <w:jc w:val="both"/>
        <w:spacing w:line="440" w:lineRule="exact"/>
        <w:rPr>
          <w:rFonts w:hint="eastAsia" w:ascii="宋体" w:hAnsi="宋体" w:eastAsia="宋体" w:cs="宋体"/>
          <w:color w:val="000000"/>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地址：南京市溧水区</w:t>
      </w:r>
      <w:r>
        <w:rPr>
          <w:rFonts w:hint="eastAsia" w:ascii="宋体" w:hAnsi="宋体" w:eastAsia="宋体" w:cs="宋体"/>
          <w:color w:val="000000"/>
          <w:szCs w:val="21"/>
          <w:highlight w:val="none"/>
          <w:lang w:eastAsia="zh-CN"/>
        </w:rPr>
        <w:t xml:space="preserve">永阳街道广成铂金大厦三楼</w:t>
      </w:r>
      <w:r/>
    </w:p>
    <w:p>
      <w:pPr>
        <w:ind w:firstLine="420"/>
        <w:jc w:val="both"/>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联系人：</w:t>
      </w:r>
      <w:r>
        <w:rPr>
          <w:rFonts w:hint="eastAsia" w:ascii="宋体" w:hAnsi="宋体" w:eastAsia="宋体" w:cs="宋体"/>
          <w:color w:val="000000"/>
          <w:szCs w:val="21"/>
          <w:highlight w:val="none"/>
          <w:lang w:eastAsia="zh-CN"/>
        </w:rPr>
        <w:t xml:space="preserve">王</w:t>
      </w:r>
      <w:r>
        <w:rPr>
          <w:rFonts w:hint="eastAsia" w:ascii="宋体" w:hAnsi="宋体" w:eastAsia="宋体" w:cs="宋体"/>
          <w:color w:val="000000"/>
          <w:szCs w:val="21"/>
          <w:highlight w:val="none"/>
        </w:rPr>
        <w:t xml:space="preserve">工</w:t>
      </w:r>
      <w:r/>
    </w:p>
    <w:p>
      <w:pPr>
        <w:ind w:firstLine="420"/>
        <w:jc w:val="both"/>
        <w:spacing w:line="440" w:lineRule="exact"/>
        <w:rPr>
          <w:rFonts w:hint="default" w:ascii="宋体" w:hAnsi="宋体" w:eastAsia="宋体" w:cs="宋体"/>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联系电话：1</w:t>
      </w:r>
      <w:r>
        <w:rPr>
          <w:rFonts w:hint="eastAsia" w:ascii="宋体" w:hAnsi="宋体" w:eastAsia="宋体" w:cs="宋体"/>
          <w:color w:val="000000"/>
          <w:szCs w:val="21"/>
          <w:highlight w:val="none"/>
          <w:lang w:val="en-US" w:eastAsia="zh-CN"/>
        </w:rPr>
        <w:t xml:space="preserve">3952086598</w:t>
      </w:r>
      <w:r/>
    </w:p>
    <w:p>
      <w:pPr>
        <w:spacing w:line="440" w:lineRule="exact"/>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 </w:t>
      </w:r>
      <w:r/>
    </w:p>
    <w:p>
      <w:pPr>
        <w:rPr>
          <w:highlight w:val="none"/>
        </w:rPr>
      </w:pPr>
      <w:r>
        <w:rPr>
          <w:highlight w:val="none"/>
        </w:rPr>
        <w:br w:type="page" w:clear="all"/>
      </w:r>
      <w:r/>
    </w:p>
    <w:p>
      <w:pPr>
        <w:numPr>
          <w:ilvl w:val="0"/>
          <w:numId w:val="1"/>
        </w:numPr>
        <w:jc w:val="center"/>
        <w:spacing w:line="85" w:lineRule="atLeast"/>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outlineLvl w:val="0"/>
      </w:pPr>
      <w:r/>
      <w:bookmarkStart w:id="2" w:name="_Toc24824"/>
      <w:r>
        <w:rPr>
          <w:rFonts w:hint="eastAsia" w:ascii="宋体" w:hAnsi="宋体" w:eastAsia="宋体" w:cs="宋体"/>
          <w:b/>
          <w:color w:val="000000"/>
          <w:sz w:val="32"/>
          <w:highlight w:val="none"/>
        </w:rPr>
        <w:t xml:space="preserve"> 投标人须知</w:t>
      </w:r>
      <w:bookmarkEnd w:id="2"/>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前附表</w:t>
      </w:r>
      <w:r/>
    </w:p>
    <w:tbl>
      <w:tblPr>
        <w:tblStyle w:val="687"/>
        <w:tblW w:w="0" w:type="auto"/>
        <w:tblInd w:w="-2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0"/>
        <w:gridCol w:w="2031"/>
        <w:gridCol w:w="6643"/>
      </w:tblGrid>
      <w:tr>
        <w:trPr>
          <w:trHeight w:val="412"/>
        </w:trPr>
        <w:tc>
          <w:tcPr>
            <w:tcMar>
              <w:left w:w="108" w:type="dxa"/>
              <w:top w:w="0" w:type="dxa"/>
              <w:right w:w="108" w:type="dxa"/>
              <w:bottom w:w="0" w:type="dxa"/>
            </w:tcMar>
            <w:tcW w:w="680" w:type="dxa"/>
            <w:vAlign w:val="center"/>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rPr>
              <w:t xml:space="preserve">序号</w:t>
            </w:r>
            <w:r/>
          </w:p>
        </w:tc>
        <w:tc>
          <w:tcPr>
            <w:tcMar>
              <w:left w:w="108" w:type="dxa"/>
              <w:top w:w="0" w:type="dxa"/>
              <w:right w:w="108" w:type="dxa"/>
              <w:bottom w:w="0" w:type="dxa"/>
            </w:tcMar>
            <w:tcW w:w="2031" w:type="dxa"/>
            <w:vAlign w:val="center"/>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rPr>
              <w:t xml:space="preserve">名称</w:t>
            </w:r>
            <w:r/>
          </w:p>
        </w:tc>
        <w:tc>
          <w:tcPr>
            <w:tcMar>
              <w:left w:w="108" w:type="dxa"/>
              <w:top w:w="0" w:type="dxa"/>
              <w:right w:w="108" w:type="dxa"/>
              <w:bottom w:w="0" w:type="dxa"/>
            </w:tcMar>
            <w:tcW w:w="6643" w:type="dxa"/>
            <w:vAlign w:val="center"/>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rPr>
              <w:t xml:space="preserve">内容</w:t>
            </w:r>
            <w:r/>
          </w:p>
        </w:tc>
      </w:tr>
      <w:tr>
        <w:trPr>
          <w:trHeight w:val="1029"/>
        </w:trPr>
        <w:tc>
          <w:tcPr>
            <w:tcMar>
              <w:left w:w="108" w:type="dxa"/>
              <w:top w:w="0" w:type="dxa"/>
              <w:right w:w="108" w:type="dxa"/>
              <w:bottom w:w="0" w:type="dxa"/>
            </w:tcMar>
            <w:tcW w:w="680" w:type="dxa"/>
            <w:vAlign w:val="center"/>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1</w:t>
            </w:r>
            <w:r/>
          </w:p>
        </w:tc>
        <w:tc>
          <w:tcPr>
            <w:tcMar>
              <w:left w:w="108" w:type="dxa"/>
              <w:top w:w="0" w:type="dxa"/>
              <w:right w:w="108" w:type="dxa"/>
              <w:bottom w:w="0" w:type="dxa"/>
            </w:tcMar>
            <w:tcW w:w="2031" w:type="dxa"/>
            <w:vAlign w:val="center"/>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采购人</w:t>
            </w:r>
            <w:r/>
          </w:p>
        </w:tc>
        <w:tc>
          <w:tcPr>
            <w:tcMar>
              <w:left w:w="108" w:type="dxa"/>
              <w:top w:w="0" w:type="dxa"/>
              <w:right w:w="108" w:type="dxa"/>
              <w:bottom w:w="0" w:type="dxa"/>
            </w:tcMar>
            <w:tcW w:w="6643" w:type="dxa"/>
            <w:vAlign w:val="top"/>
            <w:textDirection w:val="lrTb"/>
            <w:noWrap w:val="false"/>
          </w:tcPr>
          <w:p>
            <w:pPr>
              <w:jc w:val="both"/>
              <w:spacing w:line="85"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名称：</w:t>
            </w:r>
            <w:r>
              <w:rPr>
                <w:rFonts w:hint="eastAsia" w:ascii="宋体" w:hAnsi="宋体" w:eastAsia="宋体" w:cs="宋体"/>
                <w:highlight w:val="none"/>
                <w:lang w:eastAsia="zh-CN"/>
              </w:rPr>
              <w:t xml:space="preserve">南京溧水经济开发区管理委员会</w:t>
            </w:r>
            <w:r/>
          </w:p>
          <w:p>
            <w:pPr>
              <w:jc w:val="both"/>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地址：南京市溧水区</w:t>
            </w:r>
            <w:r>
              <w:rPr>
                <w:rFonts w:hint="eastAsia" w:ascii="宋体" w:hAnsi="宋体" w:eastAsia="宋体" w:cs="宋体"/>
                <w:highlight w:val="none"/>
                <w:lang w:eastAsia="zh-CN"/>
              </w:rPr>
              <w:t xml:space="preserve">团山路</w:t>
            </w:r>
            <w:r>
              <w:rPr>
                <w:rFonts w:hint="eastAsia" w:ascii="宋体" w:hAnsi="宋体" w:eastAsia="宋体" w:cs="宋体"/>
                <w:highlight w:val="none"/>
                <w:lang w:val="en-US" w:eastAsia="zh-CN"/>
              </w:rPr>
              <w:t xml:space="preserve">8</w:t>
            </w:r>
            <w:r>
              <w:rPr>
                <w:rFonts w:hint="eastAsia" w:ascii="宋体" w:hAnsi="宋体" w:eastAsia="宋体" w:cs="宋体"/>
                <w:highlight w:val="none"/>
              </w:rPr>
              <w:t xml:space="preserve">号 </w:t>
            </w:r>
            <w:r/>
          </w:p>
          <w:p>
            <w:pPr>
              <w:jc w:val="both"/>
              <w:spacing w:line="85"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联系人：</w:t>
            </w:r>
            <w:r>
              <w:rPr>
                <w:rFonts w:hint="eastAsia" w:ascii="宋体" w:hAnsi="宋体" w:eastAsia="宋体" w:cs="宋体"/>
                <w:highlight w:val="none"/>
                <w:lang w:eastAsia="zh-CN"/>
              </w:rPr>
              <w:t xml:space="preserve">胡工</w:t>
            </w:r>
            <w:r/>
          </w:p>
          <w:p>
            <w:pPr>
              <w:jc w:val="both"/>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联系电话：1</w:t>
            </w:r>
            <w:r>
              <w:rPr>
                <w:rFonts w:hint="eastAsia" w:ascii="宋体" w:hAnsi="宋体" w:eastAsia="宋体" w:cs="宋体"/>
                <w:color w:val="000000"/>
                <w:szCs w:val="21"/>
                <w:highlight w:val="none"/>
                <w:lang w:val="en-US" w:eastAsia="zh-CN"/>
              </w:rPr>
              <w:t xml:space="preserve">3276635581</w:t>
            </w:r>
            <w:r>
              <w:rPr>
                <w:rFonts w:hint="eastAsia" w:ascii="宋体" w:hAnsi="宋体" w:eastAsia="宋体" w:cs="宋体"/>
                <w:highlight w:val="none"/>
              </w:rPr>
              <w:t xml:space="preserve"> </w:t>
            </w:r>
            <w:r/>
          </w:p>
        </w:tc>
      </w:tr>
      <w:tr>
        <w:trPr>
          <w:trHeight w:val="1056"/>
        </w:trPr>
        <w:tc>
          <w:tcPr>
            <w:tcMar>
              <w:left w:w="108" w:type="dxa"/>
              <w:top w:w="0" w:type="dxa"/>
              <w:right w:w="108" w:type="dxa"/>
              <w:bottom w:w="0" w:type="dxa"/>
            </w:tcMar>
            <w:tcW w:w="680" w:type="dxa"/>
            <w:vAlign w:val="center"/>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2</w:t>
            </w:r>
            <w:r/>
          </w:p>
        </w:tc>
        <w:tc>
          <w:tcPr>
            <w:tcMar>
              <w:left w:w="108" w:type="dxa"/>
              <w:top w:w="0" w:type="dxa"/>
              <w:right w:w="108" w:type="dxa"/>
              <w:bottom w:w="0" w:type="dxa"/>
            </w:tcMar>
            <w:tcW w:w="2031" w:type="dxa"/>
            <w:vAlign w:val="center"/>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采购代理机构</w:t>
            </w:r>
            <w:r/>
          </w:p>
        </w:tc>
        <w:tc>
          <w:tcPr>
            <w:tcMar>
              <w:left w:w="108" w:type="dxa"/>
              <w:top w:w="0" w:type="dxa"/>
              <w:right w:w="108" w:type="dxa"/>
              <w:bottom w:w="0" w:type="dxa"/>
            </w:tcMar>
            <w:tcW w:w="6643" w:type="dxa"/>
            <w:vAlign w:val="center"/>
            <w:textDirection w:val="lrTb"/>
            <w:noWrap w:val="false"/>
          </w:tcPr>
          <w:p>
            <w:pPr>
              <w:jc w:val="both"/>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名称：</w:t>
            </w:r>
            <w:r>
              <w:rPr>
                <w:rFonts w:hint="eastAsia" w:ascii="宋体" w:hAnsi="宋体" w:eastAsia="宋体" w:cs="宋体"/>
                <w:highlight w:val="none"/>
                <w:lang w:eastAsia="zh-CN"/>
              </w:rPr>
              <w:t xml:space="preserve">南京卓诚工程造价咨询有限公司</w:t>
            </w:r>
            <w:r>
              <w:rPr>
                <w:rFonts w:hint="eastAsia" w:ascii="宋体" w:hAnsi="宋体" w:eastAsia="宋体" w:cs="宋体"/>
                <w:highlight w:val="none"/>
              </w:rPr>
              <w:t xml:space="preserve">　</w:t>
            </w:r>
            <w:r/>
          </w:p>
          <w:p>
            <w:pPr>
              <w:jc w:val="both"/>
              <w:spacing w:line="85"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地址：南京市溧水区</w:t>
            </w:r>
            <w:r>
              <w:rPr>
                <w:rFonts w:hint="eastAsia" w:ascii="宋体" w:hAnsi="宋体" w:eastAsia="宋体" w:cs="宋体"/>
                <w:highlight w:val="none"/>
                <w:lang w:eastAsia="zh-CN"/>
              </w:rPr>
              <w:t xml:space="preserve">永阳街道广成铂金大厦三楼</w:t>
            </w:r>
            <w:r/>
          </w:p>
          <w:p>
            <w:pPr>
              <w:jc w:val="both"/>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联系人：</w:t>
            </w:r>
            <w:r>
              <w:rPr>
                <w:rFonts w:hint="eastAsia" w:ascii="宋体" w:hAnsi="宋体" w:eastAsia="宋体" w:cs="宋体"/>
                <w:highlight w:val="none"/>
                <w:lang w:eastAsia="zh-CN"/>
              </w:rPr>
              <w:t xml:space="preserve">王</w:t>
            </w:r>
            <w:r>
              <w:rPr>
                <w:rFonts w:hint="eastAsia" w:ascii="宋体" w:hAnsi="宋体" w:eastAsia="宋体" w:cs="宋体"/>
                <w:highlight w:val="none"/>
              </w:rPr>
              <w:t xml:space="preserve">工</w:t>
            </w:r>
            <w:r/>
          </w:p>
          <w:p>
            <w:pPr>
              <w:jc w:val="both"/>
              <w:spacing w:line="85" w:lineRule="atLeast"/>
              <w:rPr>
                <w:rFonts w:hint="default"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联系电话：1</w:t>
            </w:r>
            <w:r>
              <w:rPr>
                <w:rFonts w:hint="eastAsia" w:ascii="宋体" w:hAnsi="宋体" w:eastAsia="宋体" w:cs="宋体"/>
                <w:highlight w:val="none"/>
                <w:lang w:val="en-US" w:eastAsia="zh-CN"/>
              </w:rPr>
              <w:t xml:space="preserve">3952086598</w:t>
            </w:r>
            <w:r/>
          </w:p>
        </w:tc>
      </w:tr>
      <w:tr>
        <w:trPr>
          <w:trHeight w:val="567" w:hRule="exact"/>
        </w:trPr>
        <w:tc>
          <w:tcPr>
            <w:tcMar>
              <w:left w:w="108" w:type="dxa"/>
              <w:top w:w="0" w:type="dxa"/>
              <w:right w:w="108" w:type="dxa"/>
              <w:bottom w:w="0" w:type="dxa"/>
            </w:tcMar>
            <w:tcW w:w="680" w:type="dxa"/>
            <w:vAlign w:val="center"/>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3</w:t>
            </w:r>
            <w:r/>
          </w:p>
        </w:tc>
        <w:tc>
          <w:tcPr>
            <w:tcMar>
              <w:left w:w="108" w:type="dxa"/>
              <w:top w:w="0" w:type="dxa"/>
              <w:right w:w="108" w:type="dxa"/>
              <w:bottom w:w="0" w:type="dxa"/>
            </w:tcMar>
            <w:tcW w:w="2031" w:type="dxa"/>
            <w:vAlign w:val="center"/>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采购项目名称</w:t>
            </w:r>
            <w:r/>
          </w:p>
        </w:tc>
        <w:tc>
          <w:tcPr>
            <w:tcMar>
              <w:left w:w="108" w:type="dxa"/>
              <w:top w:w="0" w:type="dxa"/>
              <w:right w:w="108" w:type="dxa"/>
              <w:bottom w:w="0" w:type="dxa"/>
            </w:tcMar>
            <w:tcW w:w="6643" w:type="dxa"/>
            <w:vAlign w:val="center"/>
            <w:textDirection w:val="lrTb"/>
            <w:noWrap w:val="false"/>
          </w:tcPr>
          <w:p>
            <w:pPr>
              <w:jc w:val="both"/>
              <w:spacing w:line="85"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团山消防站救援装备器材采购</w:t>
            </w:r>
            <w:r/>
          </w:p>
        </w:tc>
      </w:tr>
      <w:tr>
        <w:trPr>
          <w:trHeight w:val="567" w:hRule="exact"/>
        </w:trPr>
        <w:tc>
          <w:tcPr>
            <w:tcMar>
              <w:left w:w="108" w:type="dxa"/>
              <w:top w:w="0" w:type="dxa"/>
              <w:right w:w="108" w:type="dxa"/>
              <w:bottom w:w="0" w:type="dxa"/>
            </w:tcMar>
            <w:tcW w:w="680" w:type="dxa"/>
            <w:vAlign w:val="center"/>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4</w:t>
            </w:r>
            <w:r/>
          </w:p>
        </w:tc>
        <w:tc>
          <w:tcPr>
            <w:tcMar>
              <w:left w:w="108" w:type="dxa"/>
              <w:top w:w="0" w:type="dxa"/>
              <w:right w:w="108" w:type="dxa"/>
              <w:bottom w:w="0" w:type="dxa"/>
            </w:tcMar>
            <w:tcW w:w="2031" w:type="dxa"/>
            <w:vAlign w:val="center"/>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交货地点</w:t>
            </w:r>
            <w:r/>
          </w:p>
        </w:tc>
        <w:tc>
          <w:tcPr>
            <w:tcMar>
              <w:left w:w="108" w:type="dxa"/>
              <w:top w:w="0" w:type="dxa"/>
              <w:right w:w="108" w:type="dxa"/>
              <w:bottom w:w="0" w:type="dxa"/>
            </w:tcMar>
            <w:tcW w:w="6643" w:type="dxa"/>
            <w:vAlign w:val="center"/>
            <w:textDirection w:val="lrTb"/>
            <w:noWrap w:val="false"/>
          </w:tcPr>
          <w:p>
            <w:pPr>
              <w:jc w:val="both"/>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val="en-US" w:eastAsia="zh-CN"/>
              </w:rPr>
              <w:t xml:space="preserve">采购人</w:t>
            </w:r>
            <w:r>
              <w:rPr>
                <w:rFonts w:hint="eastAsia" w:ascii="宋体" w:hAnsi="宋体" w:eastAsia="宋体" w:cs="宋体"/>
                <w:color w:val="000000"/>
                <w:highlight w:val="none"/>
              </w:rPr>
              <w:t xml:space="preserve">指定地点，并免费提供安装调试服务</w:t>
            </w:r>
            <w:r/>
          </w:p>
        </w:tc>
      </w:tr>
      <w:tr>
        <w:trPr>
          <w:trHeight w:val="567" w:hRule="exact"/>
        </w:trPr>
        <w:tc>
          <w:tcPr>
            <w:tcMar>
              <w:left w:w="108" w:type="dxa"/>
              <w:top w:w="0" w:type="dxa"/>
              <w:right w:w="108" w:type="dxa"/>
              <w:bottom w:w="0" w:type="dxa"/>
            </w:tcMar>
            <w:tcW w:w="680" w:type="dxa"/>
            <w:vAlign w:val="center"/>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5</w:t>
            </w:r>
            <w:r/>
          </w:p>
        </w:tc>
        <w:tc>
          <w:tcPr>
            <w:tcMar>
              <w:left w:w="108" w:type="dxa"/>
              <w:top w:w="0" w:type="dxa"/>
              <w:right w:w="108" w:type="dxa"/>
              <w:bottom w:w="0" w:type="dxa"/>
            </w:tcMar>
            <w:tcW w:w="2031" w:type="dxa"/>
            <w:vAlign w:val="center"/>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资金来源</w:t>
            </w:r>
            <w:r/>
          </w:p>
        </w:tc>
        <w:tc>
          <w:tcPr>
            <w:tcMar>
              <w:left w:w="108" w:type="dxa"/>
              <w:top w:w="0" w:type="dxa"/>
              <w:right w:w="108" w:type="dxa"/>
              <w:bottom w:w="0" w:type="dxa"/>
            </w:tcMar>
            <w:tcW w:w="6643" w:type="dxa"/>
            <w:vAlign w:val="center"/>
            <w:textDirection w:val="lrTb"/>
            <w:noWrap w:val="false"/>
          </w:tcPr>
          <w:p>
            <w:pPr>
              <w:jc w:val="both"/>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财政资金</w:t>
            </w:r>
            <w:r/>
          </w:p>
        </w:tc>
      </w:tr>
      <w:tr>
        <w:trPr>
          <w:trHeight w:val="567" w:hRule="exact"/>
        </w:trPr>
        <w:tc>
          <w:tcPr>
            <w:tcMar>
              <w:left w:w="108" w:type="dxa"/>
              <w:top w:w="0" w:type="dxa"/>
              <w:right w:w="108" w:type="dxa"/>
              <w:bottom w:w="0" w:type="dxa"/>
            </w:tcMar>
            <w:tcW w:w="680" w:type="dxa"/>
            <w:vAlign w:val="center"/>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6</w:t>
            </w:r>
            <w:r/>
          </w:p>
        </w:tc>
        <w:tc>
          <w:tcPr>
            <w:tcMar>
              <w:left w:w="108" w:type="dxa"/>
              <w:top w:w="0" w:type="dxa"/>
              <w:right w:w="108" w:type="dxa"/>
              <w:bottom w:w="0" w:type="dxa"/>
            </w:tcMar>
            <w:tcW w:w="2031" w:type="dxa"/>
            <w:vAlign w:val="center"/>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评审方法</w:t>
            </w:r>
            <w:r/>
          </w:p>
        </w:tc>
        <w:tc>
          <w:tcPr>
            <w:tcMar>
              <w:left w:w="108" w:type="dxa"/>
              <w:top w:w="0" w:type="dxa"/>
              <w:right w:w="108" w:type="dxa"/>
              <w:bottom w:w="0" w:type="dxa"/>
            </w:tcMar>
            <w:tcW w:w="6643" w:type="dxa"/>
            <w:vAlign w:val="center"/>
            <w:textDirection w:val="lrTb"/>
            <w:noWrap w:val="false"/>
          </w:tcPr>
          <w:p>
            <w:pPr>
              <w:jc w:val="both"/>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综合评分法</w:t>
            </w:r>
            <w:r/>
          </w:p>
        </w:tc>
      </w:tr>
      <w:tr>
        <w:trPr>
          <w:trHeight w:val="567" w:hRule="exact"/>
        </w:trPr>
        <w:tc>
          <w:tcPr>
            <w:tcMar>
              <w:left w:w="108" w:type="dxa"/>
              <w:top w:w="0" w:type="dxa"/>
              <w:right w:w="108" w:type="dxa"/>
              <w:bottom w:w="0" w:type="dxa"/>
            </w:tcMar>
            <w:tcW w:w="680" w:type="dxa"/>
            <w:vAlign w:val="center"/>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7</w:t>
            </w:r>
            <w:r/>
          </w:p>
        </w:tc>
        <w:tc>
          <w:tcPr>
            <w:tcMar>
              <w:left w:w="108" w:type="dxa"/>
              <w:top w:w="0" w:type="dxa"/>
              <w:right w:w="108" w:type="dxa"/>
              <w:bottom w:w="0" w:type="dxa"/>
            </w:tcMar>
            <w:tcW w:w="2031" w:type="dxa"/>
            <w:vAlign w:val="center"/>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投标有效期</w:t>
            </w:r>
            <w:r/>
          </w:p>
        </w:tc>
        <w:tc>
          <w:tcPr>
            <w:tcMar>
              <w:left w:w="108" w:type="dxa"/>
              <w:top w:w="0" w:type="dxa"/>
              <w:right w:w="108" w:type="dxa"/>
              <w:bottom w:w="0" w:type="dxa"/>
            </w:tcMar>
            <w:tcW w:w="6643" w:type="dxa"/>
            <w:vAlign w:val="center"/>
            <w:textDirection w:val="lrTb"/>
            <w:noWrap w:val="false"/>
          </w:tcPr>
          <w:p>
            <w:pPr>
              <w:jc w:val="both"/>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提交投标文件截止之日起90日</w:t>
            </w:r>
            <w:r/>
          </w:p>
        </w:tc>
      </w:tr>
      <w:tr>
        <w:trPr>
          <w:trHeight w:val="567" w:hRule="exact"/>
        </w:trPr>
        <w:tc>
          <w:tcPr>
            <w:tcMar>
              <w:left w:w="108" w:type="dxa"/>
              <w:top w:w="0" w:type="dxa"/>
              <w:right w:w="108" w:type="dxa"/>
              <w:bottom w:w="0" w:type="dxa"/>
            </w:tcMar>
            <w:tcW w:w="680" w:type="dxa"/>
            <w:vAlign w:val="center"/>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8</w:t>
            </w:r>
            <w:r/>
          </w:p>
        </w:tc>
        <w:tc>
          <w:tcPr>
            <w:tcMar>
              <w:left w:w="108" w:type="dxa"/>
              <w:top w:w="0" w:type="dxa"/>
              <w:right w:w="108" w:type="dxa"/>
              <w:bottom w:w="0" w:type="dxa"/>
            </w:tcMar>
            <w:tcW w:w="2031" w:type="dxa"/>
            <w:vAlign w:val="center"/>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供应商资质要求</w:t>
            </w:r>
            <w:r/>
          </w:p>
        </w:tc>
        <w:tc>
          <w:tcPr>
            <w:tcMar>
              <w:left w:w="108" w:type="dxa"/>
              <w:top w:w="0" w:type="dxa"/>
              <w:right w:w="108" w:type="dxa"/>
              <w:bottom w:w="0" w:type="dxa"/>
            </w:tcMar>
            <w:tcW w:w="6643" w:type="dxa"/>
            <w:vAlign w:val="center"/>
            <w:textDirection w:val="lrTb"/>
            <w:noWrap w:val="false"/>
          </w:tcPr>
          <w:p>
            <w:pPr>
              <w:jc w:val="both"/>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详见第一章 招标公告</w:t>
            </w:r>
            <w:r/>
          </w:p>
        </w:tc>
      </w:tr>
      <w:tr>
        <w:trPr>
          <w:trHeight w:val="2017"/>
        </w:trPr>
        <w:tc>
          <w:tcPr>
            <w:tcMar>
              <w:left w:w="108" w:type="dxa"/>
              <w:top w:w="0" w:type="dxa"/>
              <w:right w:w="108" w:type="dxa"/>
              <w:bottom w:w="0" w:type="dxa"/>
            </w:tcMar>
            <w:tcW w:w="680" w:type="dxa"/>
            <w:vAlign w:val="center"/>
            <w:textDirection w:val="lrTb"/>
            <w:noWrap w:val="false"/>
          </w:tcPr>
          <w:p>
            <w:pPr>
              <w:jc w:val="center"/>
              <w:spacing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9</w:t>
            </w:r>
            <w:r/>
          </w:p>
        </w:tc>
        <w:tc>
          <w:tcPr>
            <w:shd w:val="clear" w:color="auto" w:fill="auto"/>
            <w:tcMar>
              <w:left w:w="108" w:type="dxa"/>
              <w:top w:w="0" w:type="dxa"/>
              <w:right w:w="108" w:type="dxa"/>
              <w:bottom w:w="0" w:type="dxa"/>
            </w:tcMar>
            <w:tcW w:w="2031" w:type="dxa"/>
            <w:vAlign w:val="center"/>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相同品牌产品</w:t>
            </w:r>
            <w:r/>
          </w:p>
          <w:p>
            <w:pPr>
              <w:jc w:val="center"/>
              <w:spacing w:line="85" w:lineRule="atLeast"/>
              <w:rPr>
                <w:rFonts w:hint="eastAsia" w:ascii="宋体" w:hAnsi="宋体" w:eastAsia="宋体" w:cs="宋体"/>
                <w:sz w:val="21"/>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投标要求</w:t>
            </w:r>
            <w:r/>
          </w:p>
        </w:tc>
        <w:tc>
          <w:tcPr>
            <w:shd w:val="clear" w:color="auto" w:fill="auto"/>
            <w:tcMar>
              <w:left w:w="108" w:type="dxa"/>
              <w:top w:w="0" w:type="dxa"/>
              <w:right w:w="108" w:type="dxa"/>
              <w:bottom w:w="0" w:type="dxa"/>
            </w:tcMar>
            <w:tcW w:w="6643" w:type="dxa"/>
            <w:vAlign w:val="center"/>
            <w:textDirection w:val="lrTb"/>
            <w:noWrap w:val="false"/>
          </w:tcPr>
          <w:p>
            <w:pPr>
              <w:jc w:val="both"/>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1）采用综合评分法的采购项目：提供相同品牌产品且通过资格性审查、符合性审查的不同供应商参加本项目投标的，按一家供应商计算，评审后得分最高的同品牌供应商获得中标人推荐资格；评审得分相同的，由采购人或者采购人委托评标委员会按照随机抽取的方式确定中标人推荐资格，其他同品牌供应商不作为中标候选人；</w:t>
            </w:r>
            <w:r/>
          </w:p>
          <w:p>
            <w:pPr>
              <w:jc w:val="both"/>
              <w:spacing w:line="85" w:lineRule="atLeast"/>
              <w:rPr>
                <w:rFonts w:hint="eastAsia" w:ascii="宋体" w:hAnsi="宋体" w:eastAsia="宋体" w:cs="宋体"/>
                <w:sz w:val="21"/>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（2）在</w:t>
            </w:r>
            <w:r>
              <w:rPr>
                <w:rFonts w:hint="eastAsia" w:ascii="宋体" w:hAnsi="宋体" w:eastAsia="宋体" w:cs="宋体"/>
                <w:color w:val="000000"/>
                <w:highlight w:val="none"/>
                <w:lang w:eastAsia="zh-CN"/>
              </w:rPr>
              <w:t xml:space="preserve">非</w:t>
            </w:r>
            <w:r>
              <w:rPr>
                <w:rFonts w:hint="eastAsia" w:ascii="宋体" w:hAnsi="宋体" w:eastAsia="宋体" w:cs="宋体"/>
                <w:color w:val="000000"/>
                <w:highlight w:val="none"/>
              </w:rPr>
              <w:t xml:space="preserve">单一品目的货物采购招标中，</w:t>
            </w:r>
            <w:r>
              <w:rPr>
                <w:rFonts w:hint="default" w:ascii="宋体" w:hAnsi="宋体" w:eastAsia="宋体" w:cs="宋体"/>
                <w:color w:val="000000"/>
                <w:highlight w:val="none"/>
              </w:rPr>
              <w:t xml:space="preserve">多家投标人提供的核心产品品牌相同的，按</w:t>
            </w:r>
            <w:r>
              <w:rPr>
                <w:rFonts w:hint="eastAsia" w:ascii="宋体" w:hAnsi="宋体" w:eastAsia="宋体" w:cs="宋体"/>
                <w:color w:val="000000"/>
                <w:highlight w:val="none"/>
                <w:lang w:eastAsia="zh-CN"/>
              </w:rPr>
              <w:t xml:space="preserve">以上</w:t>
            </w:r>
            <w:r>
              <w:rPr>
                <w:rFonts w:hint="default" w:ascii="宋体" w:hAnsi="宋体" w:eastAsia="宋体" w:cs="宋体"/>
                <w:color w:val="000000"/>
                <w:highlight w:val="none"/>
              </w:rPr>
              <w:t xml:space="preserve">规定处理</w:t>
            </w:r>
            <w:r>
              <w:rPr>
                <w:rFonts w:hint="eastAsia" w:ascii="宋体" w:hAnsi="宋体" w:eastAsia="宋体" w:cs="宋体"/>
                <w:color w:val="000000"/>
                <w:highlight w:val="none"/>
              </w:rPr>
              <w:t xml:space="preserve">。</w:t>
            </w:r>
            <w:r/>
          </w:p>
        </w:tc>
      </w:tr>
      <w:tr>
        <w:trPr>
          <w:trHeight w:val="1229"/>
        </w:trPr>
        <w:tc>
          <w:tcPr>
            <w:tcMar>
              <w:left w:w="108" w:type="dxa"/>
              <w:top w:w="0" w:type="dxa"/>
              <w:right w:w="108" w:type="dxa"/>
              <w:bottom w:w="0" w:type="dxa"/>
            </w:tcMar>
            <w:tcW w:w="680" w:type="dxa"/>
            <w:vAlign w:val="center"/>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10</w:t>
            </w:r>
            <w:r/>
          </w:p>
        </w:tc>
        <w:tc>
          <w:tcPr>
            <w:shd w:val="clear" w:color="auto" w:fill="auto"/>
            <w:tcMar>
              <w:left w:w="108" w:type="dxa"/>
              <w:top w:w="0" w:type="dxa"/>
              <w:right w:w="108" w:type="dxa"/>
              <w:bottom w:w="0" w:type="dxa"/>
            </w:tcMar>
            <w:tcW w:w="2031" w:type="dxa"/>
            <w:vAlign w:val="center"/>
            <w:textDirection w:val="lrTb"/>
            <w:noWrap w:val="false"/>
          </w:tcPr>
          <w:p>
            <w:pPr>
              <w:jc w:val="center"/>
              <w:spacing w:line="85" w:lineRule="atLeast"/>
              <w:rPr>
                <w:rFonts w:hint="eastAsia" w:ascii="宋体" w:hAnsi="宋体" w:eastAsia="宋体" w:cs="宋体"/>
                <w:sz w:val="21"/>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盖章要求</w:t>
            </w:r>
            <w:r/>
          </w:p>
        </w:tc>
        <w:tc>
          <w:tcPr>
            <w:shd w:val="clear" w:color="auto" w:fill="auto"/>
            <w:tcMar>
              <w:left w:w="108" w:type="dxa"/>
              <w:top w:w="0" w:type="dxa"/>
              <w:right w:w="108" w:type="dxa"/>
              <w:bottom w:w="0" w:type="dxa"/>
            </w:tcMar>
            <w:tcW w:w="6643" w:type="dxa"/>
            <w:vAlign w:val="center"/>
            <w:textDirection w:val="lrTb"/>
            <w:noWrap w:val="false"/>
          </w:tcPr>
          <w:p>
            <w:pPr>
              <w:jc w:val="both"/>
              <w:spacing w:line="85" w:lineRule="atLeast"/>
              <w:rPr>
                <w:rFonts w:hint="eastAsia" w:ascii="宋体" w:hAnsi="宋体" w:eastAsia="宋体" w:cs="宋体"/>
                <w:sz w:val="21"/>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供应商投标文件中加盖的公章仅能使用与供应商名称一致的标准公章，不得使用其他形式（如带有“专用章”“合同章”“财务章”“业务章”等字样）的印章；否则，按无效投标处理。</w:t>
            </w:r>
            <w:r/>
          </w:p>
        </w:tc>
      </w:tr>
      <w:tr>
        <w:trPr>
          <w:trHeight w:val="953"/>
        </w:trPr>
        <w:tc>
          <w:tcPr>
            <w:tcMar>
              <w:left w:w="108" w:type="dxa"/>
              <w:top w:w="0" w:type="dxa"/>
              <w:right w:w="108" w:type="dxa"/>
              <w:bottom w:w="0" w:type="dxa"/>
            </w:tcMar>
            <w:tcW w:w="680" w:type="dxa"/>
            <w:vAlign w:val="center"/>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11</w:t>
            </w:r>
            <w:r/>
          </w:p>
        </w:tc>
        <w:tc>
          <w:tcPr>
            <w:shd w:val="clear" w:color="auto" w:fill="auto"/>
            <w:tcMar>
              <w:left w:w="108" w:type="dxa"/>
              <w:top w:w="0" w:type="dxa"/>
              <w:right w:w="108" w:type="dxa"/>
              <w:bottom w:w="0" w:type="dxa"/>
            </w:tcMar>
            <w:tcW w:w="2031" w:type="dxa"/>
            <w:vAlign w:val="center"/>
            <w:textDirection w:val="lrTb"/>
            <w:noWrap w:val="false"/>
          </w:tcPr>
          <w:p>
            <w:pPr>
              <w:jc w:val="center"/>
              <w:spacing w:line="85" w:lineRule="atLeast"/>
              <w:rPr>
                <w:rFonts w:hint="eastAsia" w:ascii="宋体" w:hAnsi="宋体" w:eastAsia="宋体" w:cs="宋体"/>
                <w:color w:val="000000"/>
                <w:sz w:val="21"/>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其他说明 </w:t>
            </w:r>
            <w:r/>
          </w:p>
        </w:tc>
        <w:tc>
          <w:tcPr>
            <w:shd w:val="clear" w:color="auto" w:fill="auto"/>
            <w:tcMar>
              <w:left w:w="108" w:type="dxa"/>
              <w:top w:w="0" w:type="dxa"/>
              <w:right w:w="108" w:type="dxa"/>
              <w:bottom w:w="0" w:type="dxa"/>
            </w:tcMar>
            <w:tcW w:w="6643" w:type="dxa"/>
            <w:vAlign w:val="center"/>
            <w:textDirection w:val="lrTb"/>
            <w:noWrap w:val="false"/>
          </w:tcPr>
          <w:p>
            <w:pPr>
              <w:pStyle w:val="787"/>
              <w:ind w:firstLine="0"/>
              <w:jc w:val="both"/>
              <w:spacing w:line="240" w:lineRule="auto"/>
              <w:rPr>
                <w:rFonts w:hint="eastAsia" w:ascii="宋体" w:hAnsi="宋体" w:eastAsia="宋体" w:cs="宋体"/>
                <w:color w:val="000000"/>
                <w:sz w:val="20"/>
                <w:szCs w:val="20"/>
                <w:highlight w:val="none"/>
                <w:lang w:val="en-US" w:eastAsia="zh-CN" w:bidi="ar-SA"/>
              </w:rPr>
            </w:pPr>
            <w:r>
              <w:rPr>
                <w:rFonts w:hint="eastAsia" w:cs="宋体"/>
                <w:sz w:val="21"/>
                <w:szCs w:val="22"/>
                <w:highlight w:val="none"/>
              </w:rPr>
              <w:t xml:space="preserve">/</w:t>
            </w:r>
            <w:r/>
          </w:p>
        </w:tc>
      </w:tr>
    </w:tbl>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一、总 则</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1.适用法律</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1.1 《中华人民共和国政府采购法》、</w:t>
      </w:r>
      <w:r>
        <w:rPr>
          <w:rFonts w:hint="eastAsia" w:ascii="宋体" w:hAnsi="宋体" w:eastAsia="宋体" w:cs="宋体"/>
          <w:szCs w:val="21"/>
          <w:highlight w:val="none"/>
        </w:rPr>
        <w:t xml:space="preserve">《中华人民共和国政府采购法实施条例》及</w:t>
      </w:r>
      <w:r>
        <w:rPr>
          <w:rFonts w:hint="eastAsia" w:ascii="宋体" w:hAnsi="宋体" w:eastAsia="宋体" w:cs="宋体"/>
          <w:color w:val="000000"/>
          <w:szCs w:val="21"/>
          <w:highlight w:val="none"/>
        </w:rPr>
        <w:t xml:space="preserve">《政府采购货物和服务招标投标管理办法》等有关法律、规章和规定等。</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2.供应商定义</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2.1 “供应商”是指参加投标竞争，并符合招标文件规定资格条件的法人、其他组织或者自然人。</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3.货物和服务、用户或使用单位定义。</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3.1 “货物和服务”指本招标文件中所述产品及相关服务。</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3.2 “用户或使用单位”是指使用货物及接受服务的单位。</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4.政策功能</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4.1 中小企业政策</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（2）本项目</w:t>
      </w:r>
      <w:r>
        <w:rPr>
          <w:rFonts w:hint="eastAsia" w:ascii="宋体" w:hAnsi="宋体" w:eastAsia="宋体" w:cs="宋体"/>
          <w:color w:val="000000"/>
          <w:szCs w:val="21"/>
          <w:highlight w:val="none"/>
          <w:lang w:eastAsia="zh-CN"/>
        </w:rPr>
        <w:t xml:space="preserve">整体专门面向中小企业采购</w:t>
      </w:r>
      <w:r>
        <w:rPr>
          <w:rFonts w:hint="eastAsia" w:ascii="宋体" w:hAnsi="宋体" w:eastAsia="宋体" w:cs="宋体"/>
          <w:color w:val="000000"/>
          <w:szCs w:val="21"/>
          <w:highlight w:val="none"/>
        </w:rPr>
        <w:t xml:space="preserve">。</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（3）对于接受供应商以联合体形</w:t>
      </w:r>
      <w:r>
        <w:rPr>
          <w:rFonts w:hint="eastAsia" w:ascii="宋体" w:hAnsi="宋体" w:eastAsia="宋体" w:cs="宋体"/>
          <w:color w:val="000000"/>
          <w:szCs w:val="21"/>
          <w:highlight w:val="none"/>
        </w:rPr>
        <w:t xml:space="preserve">式参加采购活动的项目，小型、微型企业联合体应当符合《政府采购促进中小企业发展管理办法》的通知（财库〔2020〕46号）、《关于进一步加大政府采购支持中小企业力度的通知》（财库〔2022〕19号）规定。联合协议中约定，小型、微型企业的协议合同金额占到联合体协议合同总金额30%以上的，给予联合体4%的价格扣除。联合体各方均为小型、微型企业的，联合体视同为小型、微型企业给予10%价格扣除。组成联合体的大中型企业和其他自然人、法人或者其他组织，与小型、微型企业之间不得存在投资关系。（本项目不接受联合体投标，不适用）</w:t>
      </w:r>
      <w:r>
        <w:rPr>
          <w:rFonts w:hint="eastAsia" w:ascii="宋体" w:hAnsi="宋体" w:eastAsia="宋体" w:cs="宋体"/>
          <w:color w:val="000000"/>
          <w:szCs w:val="21"/>
          <w:highlight w:val="none"/>
          <w:lang w:eastAsia="zh-CN"/>
        </w:rPr>
        <w:t xml:space="preserve">。</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5）根据《财库〔2017〕141号》符合条件的残疾人福利性单位视同小型、微型企业，享受中小企业发展的政府采购政策。残疾人福利性单位属于小型、微型企业的，不重复享受政策。参加投标的残疾人福利性单位，应当提供 《残疾人福利性单位声明函》，未提供上述资料的报价，其价格不予扣除。</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（6）参加政府采购活动的中小企业应当按“关于印发《政府采购促进中小企业发展管理办法》的通知[财库〔2020〕46号]” 规定提供《中小企业声明函》，未提供上述资料的报价，其价格不予扣除。</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7）中小企业依据《政府采购促进中小企业发展管理办法》的通知（财库〔2020〕46号）、《关于进一步加大政府采购支持中小企业力度的通知》（财库〔2022〕19号）规定的政策获取政府采购合同后，小微企业不得将合同分包给大中型企业，中型企业不得将合同分包给大型企业。</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4.2 </w:t>
      </w:r>
      <w:r>
        <w:rPr>
          <w:rFonts w:hint="eastAsia" w:ascii="宋体" w:hAnsi="宋体" w:eastAsia="宋体" w:cs="宋体"/>
          <w:color w:val="000000"/>
          <w:szCs w:val="21"/>
          <w:highlight w:val="none"/>
          <w:lang w:val="zh-CN"/>
        </w:rPr>
        <w:t xml:space="preserve">节能产品政策</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lang w:val="zh-CN"/>
        </w:rPr>
        <w:t xml:space="preserve">（1）节能产品是指列入财政部、国家发展和改革委员会制定的《节能产品政府采购品目清单》，且经过认定的节能产品，依据品目清单和认证证书实施政府优先采购和强制采购。</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lang w:val="zh-CN"/>
        </w:rPr>
        <w:t xml:space="preserve">（2）采购人拟采购的产品属于《节能产品政府采购品目清单》所列产品的，供应商应当选择依据国家标准中二级能效（水效）指标认证的节能产品进行投标，并提供国家确定的认证机构出具的、处于有效期之内的节能产品认证证书复印件。</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lang w:val="zh-CN"/>
        </w:rPr>
        <w:t xml:space="preserve">（3）供应商提供的产品属于《节能产品政府采购品目清单》所列非政府强制采购产品的，在性能、技术、服务等指标同等条件下，实行优先采购，优先采购的评审标准详见本采购文件第三章成交说明。</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lang w:val="zh-CN"/>
        </w:rPr>
        <w:t xml:space="preserve">（4）采购人拟采购的产品属于《节能产品政府采购品目清单》所列政府强制采购产品的，供应商提供的产品则必须为列入《节能产品政府采购品目清单》的政府强制采购产品，实行强制采购，否则投标无效。</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4.3 </w:t>
      </w:r>
      <w:r>
        <w:rPr>
          <w:rFonts w:hint="eastAsia" w:ascii="宋体" w:hAnsi="宋体" w:eastAsia="宋体" w:cs="宋体"/>
          <w:color w:val="000000"/>
          <w:szCs w:val="21"/>
          <w:highlight w:val="none"/>
          <w:lang w:val="zh-CN"/>
        </w:rPr>
        <w:t xml:space="preserve">环境标志产品政策</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lang w:val="zh-CN"/>
        </w:rPr>
        <w:t xml:space="preserve">（1）环境标志产品是指列入财政部、生态环境部制定的《环境标志产品政府采购品目清单》，且依据相关标准的最新版本认证的环境标志产品，依据品目清单和认证证书实施政府优先采购。</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lang w:val="zh-CN"/>
        </w:rPr>
        <w:t xml:space="preserve">（2）采购人拟采购的产品属于《环境标志产品政府采购品目清单》所列产品的，供应商应当选择依据相关标准的最新版本认证的环境标志产品进行投标，并提供国家确定的认证机构出具的、处于有效期之内的环境标志产品认证证书复印件。</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lang w:val="zh-CN"/>
        </w:rPr>
        <w:t xml:space="preserve">（3）供应商提供的产品属于《环境标志产品政府采购品目清单》所列产品的，在性能、技术、服务等指标同等条件下，实行优先采购，优先采购的评审标准详见本采购文件第三章成交说明。</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4.4 进口产品政策</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（1）除在招标文件另有规定外，不允许进口产品参加。进口产品认定依照《财政部关于政府采购进口产品管理有关问题的通知》（财办库〔2008〕248号）的规定。</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（2）允许进口产品参加的，满足需求的国内产品可以参加。</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（3）允许进口产品参加的，优先采购向我国企业转让技术、与我国企业签订消化吸收再创新方案的供应商的进口产品。</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二、招标文件构成</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5.招标文件组成</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5.1 招标文件组成：投标邀请、投标人须知、投标人应当提交的资格证明文件、投标报价要求、投标文件编制要求、招标项目的技术规格、要求和数量、合同主要条款及合同签订方式、交货和提供服务的时间、付款条件、评标方法、评标标准、无效投标和废标条款、附件等。</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5.2 招标的最小单位是包。招标货物数量及技术要求中未分包的，投标人对要求提供的货物和服务不得部分投标；招标货物数量及技术要求中已经分包的，可以以包为单位投标。</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5.3 代理机构如果要求投标人按照招标文件规定提交备选供应商方案的，投标人可以提交备选方案；否则，备选方案将被拒绝。</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6.招标文件的澄清、补充或修改</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6.1 代理机构对已发出的招标文件进行必要澄清、补充或者修改的，将在招标文件要求提交投标文件截止时间十五日前，在原招标公告媒体发布更正公告，该澄清、补充或者修改的内容为招标文件的组成部分。</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6.2 代理机构在招标文件要求提交投标文件截止时间三日前，有权决定延长投标截止时间和开标时间，并在原采购信息发布媒体上发布变更公告。</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6.3 为使投标人在准备投标时，有合理的时间考虑招标文件的补充或修改，招标代理机构将视情况可能推迟投标截止时间和开标时间，并将此变更以书面形式通知所有的投标人。</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三、投标文件的编制</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7.投标文件的语言、计量单位、货币和编制</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7.1 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7.2 投标人所使用的计量单位应为国家法定计量单位。</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7.3 投标供应商应用人民币报价。投标产品如果是进口产品的，应提供人民币与外币之间的汇率；报价单位为“元”。</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7.4 投标文件应字迹清楚、内容齐全、不得涂改。如有修改，修改处须有投标人公章或投标专用章和法定代表人或其授权的投标人代表签字。</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7.5 投标人应在投标文件中写清相应的项目编号、项目名称、投标人全称、地址、电话、传真等。</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7.6 投标人根据招标文件载明的标的采购项目实际情况，拟在中标后将中标项目的非主体、非关键性工作交由他人完成的，应当在投标文件中载明。</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8.投标文件的组成</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8.1 投标供应商应当根据招标文件要求编制投标文件，投标文件应对招标文件提出的要求和条件作出实质性响应，并在《商务条款偏离表》和《技术规格偏离表》等处逐条标明满足与否。对带星号（“★”）的技术条款必须在投标文件中提供技术支持资料（如白皮书、彩页、手册、检测报告等），未提供技术支持资料的，视为未对招标文件实质性要求作出响应，评审时不予认可。</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8.2投标文件由商务部分、技术部分、价格部分以及其他部分组成。</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9.投标文件的商务部分</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9.1 商务部分是证明投标人有资格参加投标和中标后有能力履行合同的文件，这些文件应能满足招标文件的要求，包括但不限于下列文件，其中加“★”项目不得有缺失或无效：</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（1）★投标函（投标申请及声明）；</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w:t>
      </w:r>
      <w:r>
        <w:rPr>
          <w:rFonts w:hint="eastAsia" w:ascii="宋体" w:hAnsi="宋体" w:eastAsia="宋体" w:cs="宋体"/>
          <w:szCs w:val="21"/>
          <w:highlight w:val="none"/>
        </w:rPr>
        <w:t xml:space="preserve">★</w:t>
      </w:r>
      <w:r>
        <w:rPr>
          <w:rFonts w:hint="eastAsia" w:ascii="宋体" w:hAnsi="宋体" w:eastAsia="宋体" w:cs="宋体"/>
          <w:color w:val="000000"/>
          <w:szCs w:val="21"/>
          <w:highlight w:val="none"/>
        </w:rPr>
        <w:t xml:space="preserve">法定代表人授权委托书及委托代理人的身份证明文件的复印件；</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（3）★第一章投标邀请书中《中华人民共和国政府采购法》规定的资格条件和证明文件；</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（4）★《开标一览表》；</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zh-CN" w:eastAsia="zh-CN"/>
        </w:rPr>
        <w:t xml:space="preserve">南京市政府采购供应商信用记录表暨信用承诺书</w:t>
      </w:r>
      <w:r>
        <w:rPr>
          <w:rFonts w:hint="eastAsia" w:ascii="宋体" w:hAnsi="宋体" w:eastAsia="宋体" w:cs="宋体"/>
          <w:color w:val="000000"/>
          <w:szCs w:val="21"/>
          <w:highlight w:val="none"/>
        </w:rPr>
        <w:t xml:space="preserve">》；</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）★《商务条款偏离表》；</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）合同草案条款；</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）供应商认为需要提供的其他资格证明文件和商务资料。</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10.投标文件的技术部分</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技术部分是证明供应商提供的货物或服务是合格的、并符合招标文件要求的证明文件，以及对服务的详细说明，这些文件可以是文字资料、图纸和数据等。提供的货物和服务如与招标文件要求有不符之处，应说明其差别之所在。包括但不限于下列文件，其中加“★”项目不得有缺失或无效：</w:t>
      </w:r>
      <w:r/>
    </w:p>
    <w:p>
      <w:pPr>
        <w:ind w:left="420" w:hanging="420"/>
        <w:keepLines w:val="0"/>
        <w:keepNext w:val="0"/>
        <w:pageBreakBefore w:val="0"/>
        <w:spacing w:line="440" w:lineRule="exact"/>
        <w:widowControl/>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 （1）技术说明和服务方案；</w:t>
      </w:r>
      <w:r/>
    </w:p>
    <w:p>
      <w:pPr>
        <w:ind w:left="420" w:hanging="420"/>
        <w:keepLines w:val="0"/>
        <w:keepNext w:val="0"/>
        <w:pageBreakBefore w:val="0"/>
        <w:spacing w:line="440" w:lineRule="exact"/>
        <w:widowControl/>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 （2）★《技术条款偏离表》；</w:t>
      </w:r>
      <w:r/>
    </w:p>
    <w:p>
      <w:pPr>
        <w:ind w:left="420" w:hanging="420"/>
        <w:keepLines w:val="0"/>
        <w:keepNext w:val="0"/>
        <w:pageBreakBefore w:val="0"/>
        <w:spacing w:line="440" w:lineRule="exact"/>
        <w:widowControl/>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 （3）服务承诺；</w:t>
      </w:r>
      <w:r/>
    </w:p>
    <w:p>
      <w:pPr>
        <w:ind w:left="420" w:hanging="210"/>
        <w:keepLines w:val="0"/>
        <w:keepNext w:val="0"/>
        <w:pageBreakBefore w:val="0"/>
        <w:spacing w:line="440" w:lineRule="exact"/>
        <w:widowControl/>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（4）供应商认为需要提供的其他技术资料。</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11.投标文件的价格部分</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11.1 价格部分是对货物和服务价格构成的说明，招标文件如没有特别说明的话，对每一项货物或服务仅接受一个价格。</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11.2 报价应包含本次招标项目有关的所有费用，以及技术资料、支付给员工的工资和国家强制缴纳的各种社会保障资金，以及投标人认为需要的其他费用等。</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11.3 投标人的任何错漏、优惠、竞争性报价不得作为减轻责任、减少货物和服务、增加收费、降低质量的理由。</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11.4 投标人应在《开标一览表》《投标分项报价》等标明投标货物或服务的单价、总价以及分项报价。投标人系中小企业（含中型、小型、微型企业），并提供本企业制造的货物、承担的工程或者服务，或者提供其他中小企业制造的货物，须在《开标一览表》《投标分项报价》中注明。</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11.5 本项目预算及最高限价详见招标公告，投标人的投标报价不得超过预算或最高限价。超过预算或最高限价的投标文件，按无效投标处理。</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12.投标文件的其他部分</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12.1 其他部分由投标人根据编制投标文件需要提供的其他相关文件。</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13.投标保证金</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本项目无需缴纳投标保证金</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14.投标有效期</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14.1 自开标之日起90天内投标有效。</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14.2 在特殊情况下，在原投标有效期截止之前，代理机构可要求投标人同意延长投标有效期，这种要求与答复均以书面形式提交。投标人可拒绝这种要求，并且不影响保证金退还。接收延长投标有效期的投标人将不会要求和允许修正其投标，而只会被要求相应地延长其投标保证金的有效期。在这种情况下，有关投标保证金的退还规定在</w:t>
      </w:r>
      <w:r>
        <w:rPr>
          <w:rFonts w:hint="eastAsia" w:ascii="宋体" w:hAnsi="宋体" w:eastAsia="宋体" w:cs="宋体"/>
          <w:color w:val="000000"/>
          <w:szCs w:val="21"/>
          <w:highlight w:val="none"/>
          <w:lang w:eastAsia="zh-CN"/>
        </w:rPr>
        <w:t xml:space="preserve">延长</w:t>
      </w:r>
      <w:r>
        <w:rPr>
          <w:rFonts w:hint="eastAsia" w:ascii="宋体" w:hAnsi="宋体" w:eastAsia="宋体" w:cs="宋体"/>
          <w:color w:val="000000"/>
          <w:szCs w:val="21"/>
          <w:highlight w:val="none"/>
        </w:rPr>
        <w:t xml:space="preserve">的有效期内继续有效。</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15.投标文件签署</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15.1 投标文件应按照采购文件要求加盖电子公章，否则视为无效投标。</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16.投标费用</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16.1 投标人应承担所有与准备和参加投标有关的费用，无论采购结果如何，代理机构和采购人在任何情况下均无义务和责任承担这些费用。</w:t>
      </w:r>
      <w:r/>
    </w:p>
    <w:p>
      <w:pPr>
        <w:ind w:firstLine="420"/>
        <w:spacing w:line="440" w:lineRule="exact"/>
        <w:rPr>
          <w:rFonts w:hint="eastAsia" w:ascii="宋体" w:hAnsi="宋体" w:eastAsia="宋体" w:cs="宋体"/>
          <w:color w:val="000000"/>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16.2 本次采购代理服务费</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rPr>
        <w:t xml:space="preserve">参照有关收费标准由中标人在领取中标通知书前向采购代理机构一次付清。代理服务费的收取按差额定率法计算。</w:t>
      </w:r>
      <w:r>
        <w:rPr>
          <w:rFonts w:hint="eastAsia" w:ascii="宋体" w:hAnsi="宋体" w:eastAsia="宋体" w:cs="宋体"/>
          <w:color w:val="000000"/>
          <w:szCs w:val="21"/>
          <w:highlight w:val="none"/>
          <w:lang w:eastAsia="zh-CN"/>
        </w:rPr>
        <w:t xml:space="preserve">此费用不单独列项。</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收费标准：按</w:t>
      </w:r>
      <w:r>
        <w:rPr>
          <w:rFonts w:hint="eastAsia" w:ascii="宋体" w:hAnsi="宋体" w:eastAsia="宋体" w:cs="宋体"/>
          <w:color w:val="000000"/>
          <w:szCs w:val="21"/>
          <w:highlight w:val="none"/>
          <w:lang w:eastAsia="zh-CN"/>
        </w:rPr>
        <w:t xml:space="preserve">江苏省招标代理服务收费指导意见苏招协</w:t>
      </w:r>
      <w:r>
        <w:rPr>
          <w:rFonts w:hint="eastAsia" w:ascii="宋体" w:hAnsi="宋体" w:eastAsia="宋体" w:cs="宋体"/>
          <w:color w:val="000000"/>
          <w:szCs w:val="21"/>
          <w:highlight w:val="none"/>
          <w:lang w:val="en-US" w:eastAsia="zh-CN"/>
        </w:rPr>
        <w:t xml:space="preserve">[2022]002</w:t>
      </w:r>
      <w:r>
        <w:rPr>
          <w:rFonts w:hint="eastAsia" w:ascii="宋体" w:hAnsi="宋体" w:eastAsia="宋体" w:cs="宋体"/>
          <w:color w:val="000000"/>
          <w:szCs w:val="21"/>
          <w:highlight w:val="none"/>
        </w:rPr>
        <w:t xml:space="preserve">文件</w:t>
      </w:r>
      <w:r>
        <w:rPr>
          <w:rFonts w:hint="eastAsia" w:ascii="宋体" w:hAnsi="宋体" w:eastAsia="宋体" w:cs="宋体"/>
          <w:color w:val="000000"/>
          <w:szCs w:val="21"/>
          <w:highlight w:val="none"/>
          <w:lang w:eastAsia="zh-CN"/>
        </w:rPr>
        <w:t xml:space="preserve">和</w:t>
      </w:r>
      <w:r>
        <w:rPr>
          <w:rFonts w:hint="eastAsia" w:ascii="宋体" w:hAnsi="宋体" w:eastAsia="宋体" w:cs="Times New Roman"/>
          <w:szCs w:val="21"/>
        </w:rPr>
        <w:t xml:space="preserve">苏价服【2014】383号</w:t>
      </w:r>
      <w:r>
        <w:rPr>
          <w:rFonts w:hint="eastAsia" w:ascii="宋体" w:hAnsi="宋体" w:eastAsia="宋体" w:cs="Times New Roman"/>
          <w:szCs w:val="21"/>
          <w:lang w:eastAsia="zh-CN"/>
        </w:rPr>
        <w:t xml:space="preserve">文件</w:t>
      </w:r>
      <w:r>
        <w:rPr>
          <w:rFonts w:hint="eastAsia" w:ascii="宋体" w:hAnsi="宋体" w:eastAsia="宋体" w:cs="宋体"/>
          <w:color w:val="000000"/>
          <w:szCs w:val="21"/>
          <w:highlight w:val="none"/>
        </w:rPr>
        <w:t xml:space="preserve">规定收费标准的 </w:t>
      </w:r>
      <w:r>
        <w:rPr>
          <w:rFonts w:hint="eastAsia" w:ascii="宋体" w:hAnsi="宋体" w:eastAsia="宋体" w:cs="宋体"/>
          <w:color w:val="000000"/>
          <w:szCs w:val="21"/>
          <w:highlight w:val="none"/>
          <w:lang w:val="en-US" w:eastAsia="zh-CN"/>
        </w:rPr>
        <w:t xml:space="preserve">65</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eastAsia="zh-CN"/>
        </w:rPr>
        <w:t xml:space="preserve">计取</w:t>
      </w:r>
      <w:r>
        <w:rPr>
          <w:rFonts w:hint="eastAsia" w:ascii="宋体" w:hAnsi="宋体" w:eastAsia="宋体" w:cs="宋体"/>
          <w:color w:val="000000"/>
          <w:szCs w:val="21"/>
          <w:highlight w:val="none"/>
        </w:rPr>
        <w:t xml:space="preserve">。</w:t>
      </w:r>
      <w:r/>
    </w:p>
    <w:p>
      <w:pPr>
        <w:ind w:firstLine="420"/>
        <w:spacing w:line="440" w:lineRule="exact"/>
        <w:rPr>
          <w:rFonts w:hint="eastAsia" w:ascii="宋体" w:hAnsi="宋体" w:eastAsia="宋体" w:cs="宋体"/>
          <w:color w:val="000000"/>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lang w:val="en-US" w:eastAsia="zh-CN"/>
        </w:rPr>
        <w:t xml:space="preserve">16</w:t>
      </w:r>
      <w:r>
        <w:rPr>
          <w:rFonts w:hint="eastAsia" w:ascii="宋体" w:hAnsi="宋体" w:eastAsia="宋体" w:cs="宋体"/>
          <w:color w:val="000000"/>
          <w:szCs w:val="21"/>
          <w:highlight w:val="none"/>
        </w:rPr>
        <w:t xml:space="preserve">.3评审费</w:t>
      </w:r>
      <w:r>
        <w:rPr>
          <w:rFonts w:hint="eastAsia" w:ascii="宋体" w:hAnsi="宋体" w:eastAsia="宋体" w:cs="宋体"/>
          <w:color w:val="000000"/>
          <w:szCs w:val="21"/>
          <w:highlight w:val="none"/>
        </w:rPr>
        <w:t xml:space="preserve">由</w:t>
      </w:r>
      <w:r>
        <w:rPr>
          <w:rFonts w:hint="eastAsia" w:ascii="宋体" w:hAnsi="宋体" w:eastAsia="宋体" w:cs="宋体"/>
          <w:color w:val="000000"/>
          <w:szCs w:val="21"/>
          <w:highlight w:val="none"/>
        </w:rPr>
        <w:t xml:space="preserve">采购人</w:t>
      </w:r>
      <w:r>
        <w:rPr>
          <w:rFonts w:hint="eastAsia" w:ascii="宋体" w:hAnsi="宋体" w:eastAsia="宋体" w:cs="宋体"/>
          <w:color w:val="000000"/>
          <w:szCs w:val="21"/>
          <w:highlight w:val="none"/>
        </w:rPr>
        <w:t xml:space="preserve">支付</w:t>
      </w:r>
      <w:r>
        <w:rPr>
          <w:rFonts w:hint="eastAsia" w:ascii="宋体" w:hAnsi="宋体" w:eastAsia="宋体" w:cs="宋体"/>
          <w:color w:val="000000"/>
          <w:szCs w:val="21"/>
          <w:highlight w:val="none"/>
          <w:lang w:eastAsia="zh-CN"/>
        </w:rPr>
        <w:t xml:space="preserve">。</w:t>
      </w:r>
      <w:r/>
    </w:p>
    <w:p>
      <w:pPr>
        <w:ind w:firstLine="420"/>
        <w:spacing w:line="440" w:lineRule="exact"/>
        <w:rPr>
          <w:rFonts w:hint="eastAsia" w:ascii="宋体" w:hAnsi="宋体" w:eastAsia="宋体" w:cs="宋体"/>
          <w:b/>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highlight w:val="none"/>
        </w:rPr>
        <w:t xml:space="preserve">收款单位名称: 南京卓诚工程造价咨询有限公司 </w:t>
      </w:r>
      <w:r/>
    </w:p>
    <w:p>
      <w:pPr>
        <w:ind w:firstLine="420"/>
        <w:spacing w:line="440" w:lineRule="exact"/>
        <w:rPr>
          <w:rFonts w:hint="eastAsia" w:ascii="宋体" w:hAnsi="宋体" w:eastAsia="宋体" w:cs="宋体"/>
          <w:b/>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highlight w:val="none"/>
        </w:rPr>
        <w:t xml:space="preserve">开户行: 建行南京珍珠桥支行</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highlight w:val="none"/>
        </w:rPr>
        <w:t xml:space="preserve">账号: 3200 1596 3380 5250 1028</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四、投标文件的递交</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17.投标文件的密封和递交</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17.1 供应商应当按照《操作手册》规定，在提交响应文件截止时间前制作并上传电子响应文件。 </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17.2 供应商应充分考虑网络环境、网络带宽等因素可能对投标产生的影响，如因供应商自身原因造成的电子投标文件上传不成功的，按照本招标文件第二章第22.2.2.1条规定做无效投标处理。</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lang w:eastAsia="zh-CN"/>
        </w:rPr>
        <w:t xml:space="preserve">18.</w:t>
      </w:r>
      <w:r>
        <w:rPr>
          <w:rFonts w:hint="eastAsia" w:ascii="宋体" w:hAnsi="宋体" w:eastAsia="宋体" w:cs="宋体"/>
          <w:color w:val="000000"/>
          <w:szCs w:val="21"/>
          <w:highlight w:val="none"/>
        </w:rPr>
        <w:t xml:space="preserve">投标文件的解密</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18.1 投标人应当按照《操作手册》规定，在“苏采云”系统规定的时间内对投标文件进行解密。</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18.2投标人应充分考虑网络环境、网络带宽等因素可能对投标产生的影响，如因投标人自身原因造成的电子投标文件解密不成功的，</w:t>
      </w:r>
      <w:r>
        <w:rPr>
          <w:rFonts w:hint="eastAsia" w:ascii="宋体" w:hAnsi="宋体" w:eastAsia="宋体" w:cs="宋体"/>
          <w:color w:val="000000"/>
          <w:szCs w:val="21"/>
          <w:highlight w:val="none"/>
          <w:lang w:eastAsia="zh-CN"/>
        </w:rPr>
        <w:t xml:space="preserve">作</w:t>
      </w:r>
      <w:r>
        <w:rPr>
          <w:rFonts w:hint="eastAsia" w:ascii="宋体" w:hAnsi="宋体" w:eastAsia="宋体" w:cs="宋体"/>
          <w:color w:val="000000"/>
          <w:szCs w:val="21"/>
          <w:highlight w:val="none"/>
        </w:rPr>
        <w:t xml:space="preserve">无效投标处理。</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19.投标文件的修改和撤回</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19.1 投标文件的撤回</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19.1.1 投标人可在投标截止时间前撤回其电子投标文件，具体操作方法见《操作手册》。</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19.1.2 投标人撤回电子投标文件，则认为其不再参与本项目投标活动。</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19.2 投标文件的修改</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19.2.1 投标人可在投标截止时间前对其电子投标文件进行修改，具体操作方法见《操作手册》。</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19.2.2 投标截止时间之后，投标人不得对其电子投标文件作任何修改。</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19.3 在投标截止时间至招标文件中规定的投标有效期满之间的这段时间内，投标人不得撤回其投标。</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20.诚实信用</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20.1 投标人之间不得相互串通投标报价，不得妨碍其他投标人的公平竞争，不得损害采购人和其他投标人的合法权益。</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20.2 投标人不得以向代理机构工作人员、评标委员会成员行贿或者采取其他不正当手段谋取中标。</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五、开标、评标与定标</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21.开标</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21.1 采购代理机构将在招标公告中规定的时间和地点组织公开开标。投标人应当按照《操作手册》规定，参加开标活动并在苏采云系统规定的时间内对投标文件进行解密。</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21.2开标仪式由采购代理机构组织。苏采云系统将自动对项目进行开标，并公布各投标人名称和投标价格。</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21.3 </w:t>
      </w:r>
      <w:r>
        <w:rPr>
          <w:rFonts w:hint="eastAsia" w:ascii="宋体" w:hAnsi="宋体" w:eastAsia="宋体" w:cs="宋体"/>
          <w:highlight w:val="none"/>
        </w:rPr>
        <w:t xml:space="preserve">投标人在开标过程中涉及到的投标文件解密、开标结果确认等工作，应按照《操作手册》规定执行</w:t>
      </w:r>
      <w:r>
        <w:rPr>
          <w:rFonts w:hint="eastAsia" w:ascii="宋体" w:hAnsi="宋体" w:eastAsia="宋体" w:cs="宋体"/>
          <w:color w:val="000000"/>
          <w:szCs w:val="21"/>
          <w:highlight w:val="none"/>
        </w:rPr>
        <w:t xml:space="preserve">。</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21.4 </w:t>
      </w:r>
      <w:r>
        <w:rPr>
          <w:rFonts w:hint="eastAsia" w:ascii="宋体" w:hAnsi="宋体" w:eastAsia="宋体" w:cs="宋体"/>
          <w:highlight w:val="none"/>
        </w:rPr>
        <w:t xml:space="preserve">投标人如果对开标过程和开标记录有疑义，应当根据《操作手册》规定提出，如苏采云系统中《开标记录表》公布后5分钟内未提出的，视同认可开标结果</w:t>
      </w:r>
      <w:r>
        <w:rPr>
          <w:rFonts w:hint="eastAsia" w:ascii="宋体" w:hAnsi="宋体" w:eastAsia="宋体" w:cs="宋体"/>
          <w:color w:val="000000"/>
          <w:szCs w:val="21"/>
          <w:highlight w:val="none"/>
        </w:rPr>
        <w:t xml:space="preserve">。</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21.5 投标文件的大写金额与小写金额不一致的，以大写金额为准；总价金额与单价金额不一致的，以单价金额计算为准；单价金额小数点有明显错位的，应以总价为准，并修改单价；对不同文字文本投标文件的解释发生异议的，以中文文本为准。</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21.6 投标截止时间结束后参加投标的供应商不足三家的，不得开标。</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21.7公开招标数额标准以上的采购项目，投标截止后投标人不足3家或者通过资格审查或符合性审查的投标人不足3家的，除采购任务取消情形外，按照以下方式处理：</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（1）招标文件存在不合理条款或者招标程序不符合规定的，采购人、采购代理机构改正后依法重新招标；</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（2）招标文件没有不合理条款、招标程序符合规定，需要采用其他采购方式采购的，采购人依法报财政部门批准，经批准后，可变更为其他采购方式采购。</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22.评标</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22.1 评标组织</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22.1.1 评标工作由代理机构负责组织，具体评标事务由依法组建的评标委员会负责，并独立履行下列职责：</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（1）审查、评价投标文件是否符合招标文件的商务、技术等实质性要求；</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（2）要求投标供应商对投标文件有关事项作出解释或者澄清；</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（3）对投标文件进行比较和评价；</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（4）推荐中标候选供应商名单，或者按照招标文件规定直接确定中标供应商；</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（5）</w:t>
      </w:r>
      <w:r>
        <w:rPr>
          <w:rFonts w:hint="eastAsia" w:ascii="宋体" w:hAnsi="宋体" w:eastAsia="宋体" w:cs="宋体"/>
          <w:bCs/>
          <w:szCs w:val="21"/>
          <w:highlight w:val="none"/>
        </w:rPr>
        <w:t xml:space="preserve">向采购人、采购代理机构或者有关部门报告评标中发现的违法行为。</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22.1.2 评标委员会由采购人代表和有关技术、经济等方面的专家组成，独立开展评审工作。</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22.2 评标程序</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22.2.1 投标文件的资格性检查。依据法律法规和招标文件的规定，对投标文件中资格证明、投标保证金等进行审查，以确定供应商是否具备投标资格。投标文件有下列情况之一的，在资格性、符合性检查时按照无效投标处理：</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（1）不具备招标文件中规定资格条件的；</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（2）未按照招标文件规定要求签署、盖章的；</w:t>
      </w:r>
      <w:r/>
    </w:p>
    <w:p>
      <w:pPr>
        <w:ind w:firstLine="420"/>
        <w:keepLines w:val="0"/>
        <w:keepNext w:val="0"/>
        <w:pageBreakBefore w:val="0"/>
        <w:spacing w:line="440" w:lineRule="exact"/>
        <w:widowControl/>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3）供应商被“信用中国”网站（www.creditchina.gov.cn）、“中国政府采购网”(www.ccgp.gov.cn)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（4）未提供《南京市政府采购供应商信用记录表暨信用承诺书》的；</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（5）提供虚假材料的（包括营业执照、财务报表、资格证明文件等）；</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6）评标委员会认定供应商的报价明显低于其他通过符合性审查供应商的报价，有可能影响产品质量或者不能诚信履约，且供应商不能应评标委员会要求在评标现场合理的时间内提供书面说明（必要时评标委员会可要求投标人提交相关证明材料）证明其报价合理性的；</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（7）改变采购文件提供的项目清单中的计量单位、数量；</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（8）响应文件载明的采购项目完成期限超过采购文件规定的期限；</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（9）明显不符合技术规范、技术标准的要求；</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（10）法律、法规和招标文件规定的其他无效情形。</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（11）不符合法律、法规和采购文件规定的其他实质性要求的。</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22.2.2 投标文件的符合性检查。依据招标文件规定，从投标文件的有效性、完整性和对招标文件的响应程度进行审查，以确定是否对招标文件的实质性要求作出响应。</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22.2.2.1 实质性要求是指：本招标文件中斜体且有下划线部分，或者用带星（“★”）、“必须”或“应（应当）”等其他文字说明的商务和技术要求。</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22.2.2.2有下列情形之一的予以废标，同时将废标理由通知所有供应商：</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（1）符合专业条件的供应商或者对招标文件作实质性响应的供应商不足三家的；</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（2）出现影响采购公正的违法、违规行为的；</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（3）供应商的报价均超过了采购预算或者最高限价的，采购人不能支付的；</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（4）因重大变故，采购任务取消的。</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（5）投标文件存在歧义、重大缺陷，或者招标文件内容违反国家有关强制性规定的。</w:t>
      </w:r>
      <w:r/>
    </w:p>
    <w:p>
      <w:pPr>
        <w:ind w:firstLine="420"/>
        <w:spacing w:line="440" w:lineRule="exact"/>
        <w:rPr>
          <w:rFonts w:hint="eastAsia" w:ascii="宋体" w:hAnsi="宋体" w:eastAsia="宋体" w:cs="宋体"/>
          <w:color w:val="000000"/>
          <w:szCs w:val="21"/>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22.2.2.3 </w:t>
      </w:r>
      <w:r>
        <w:rPr>
          <w:rFonts w:hint="eastAsia" w:ascii="宋体" w:hAnsi="宋体" w:eastAsia="宋体" w:cs="宋体"/>
          <w:color w:val="000000"/>
          <w:szCs w:val="21"/>
          <w:highlight w:val="yellow"/>
        </w:rPr>
        <w:t xml:space="preserve">根据《关于推动解决政府采购异常低价问题相关工作的通知（苏财购〔2025〕62号）》，评审过程中出现下列情形之一的，评审委员会应当启动异常低价投标（响应）审查程序：</w:t>
      </w:r>
      <w:r/>
    </w:p>
    <w:p>
      <w:pPr>
        <w:ind w:firstLine="420"/>
        <w:spacing w:line="440" w:lineRule="exact"/>
        <w:rPr>
          <w:rFonts w:hint="eastAsia" w:ascii="宋体" w:hAnsi="宋体" w:eastAsia="宋体" w:cs="宋体"/>
          <w:color w:val="000000"/>
          <w:szCs w:val="21"/>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yellow"/>
        </w:rPr>
        <w:t xml:space="preserve">（1）投标（响应）报价低于采购项目预算50%的，即投标（响应）报价&lt;采购项目预算×50%；</w:t>
      </w:r>
      <w:r/>
    </w:p>
    <w:p>
      <w:pPr>
        <w:ind w:firstLine="420"/>
        <w:spacing w:line="440" w:lineRule="exact"/>
        <w:rPr>
          <w:rFonts w:hint="eastAsia" w:ascii="宋体" w:hAnsi="宋体" w:eastAsia="宋体" w:cs="宋体"/>
          <w:color w:val="000000"/>
          <w:szCs w:val="21"/>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yellow"/>
        </w:rPr>
        <w:t xml:space="preserve">（2）投标（响应）报价低于采购项目最高限价45%的，即投标（响应）报价&lt;采购项目最高限价×45%；</w:t>
      </w:r>
      <w:r/>
    </w:p>
    <w:p>
      <w:pPr>
        <w:ind w:firstLine="420"/>
        <w:spacing w:line="440" w:lineRule="exact"/>
        <w:rPr>
          <w:rFonts w:hint="eastAsia" w:ascii="宋体" w:hAnsi="宋体" w:eastAsia="宋体" w:cs="宋体"/>
          <w:color w:val="000000"/>
          <w:szCs w:val="21"/>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yellow"/>
        </w:rPr>
        <w:t xml:space="preserve">（3）评审委员会认定的供应商报价过低、有可能影响产品质量或者不能诚信履约的其他情形。</w:t>
      </w:r>
      <w:r/>
    </w:p>
    <w:p>
      <w:pPr>
        <w:ind w:firstLine="420"/>
        <w:spacing w:line="440" w:lineRule="exact"/>
        <w:rPr>
          <w:rFonts w:hint="eastAsia" w:ascii="宋体" w:hAnsi="宋体" w:eastAsia="宋体" w:cs="宋体"/>
          <w:color w:val="000000"/>
          <w:szCs w:val="21"/>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yellow"/>
        </w:rPr>
        <w:t xml:space="preserve">启动异常低价投标（响应）审查后，评审委员会应当要求相关供应商在评标现场合理的时间内，提供项目具体成本测算等与报价合理性相关的书面说明及相关证明材料</w:t>
      </w:r>
      <w:r>
        <w:rPr>
          <w:rFonts w:hint="eastAsia" w:ascii="宋体" w:hAnsi="宋体" w:eastAsia="宋体" w:cs="宋体"/>
          <w:color w:val="000000"/>
          <w:szCs w:val="21"/>
          <w:highlight w:val="yellow"/>
          <w:lang w:eastAsia="zh-CN"/>
        </w:rPr>
        <w:t xml:space="preserve">，并</w:t>
      </w:r>
      <w:r>
        <w:rPr>
          <w:rFonts w:hint="eastAsia" w:ascii="宋体" w:hAnsi="宋体" w:eastAsia="宋体" w:cs="宋体"/>
          <w:color w:val="000000"/>
          <w:szCs w:val="21"/>
          <w:highlight w:val="yellow"/>
        </w:rPr>
        <w:t xml:space="preserve">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将在评审报告中进行记录。</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22.2.2.</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在评标期间，出现符合专业条件的供应商或者对招标文件作出实质性响应的供应商不足三家情形的，比照21.6款执行。</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22.2.3 澄清有关问题。</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22.2.3.1 评标期间，评标委员会对投标文件中含义不明确、同类问题表述不一致或者有明显文字和计算错误的内容，有权要求投标人作出必要的澄清、说明或者补正。</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投标人的澄清、说明或者补正不得超出投标文件的范围或者改变投标文件的实质性内容。</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评标委员会并非对每个投标人都做澄清要求。</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22.2.3.2需要投标人进行澄清、说明和补正的，评标委员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22.2.3.3接到评标委员会澄清、说明和补正要求的，投标人如未按规定作出澄清、说明和补正，其风险由投标人自行承担。</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22.2.4投标文件报价出现前后不一致的，除招标文件另有规定外，按照下列规定修正：</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（1）投标文件中开标一览表（报价表）内容与投标文件中相应内容不一致的，以开标一览表（报价表）为准；</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（2）大写金额和小写金额不一致的，以大写金额为准；</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（3）单价金额小数点或者百分比有明显错位的，以开标一览表的总价为准，并修改单价；</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（4）总价金额与单价汇总金额不一致的，以单价金额计算结果为准。</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同时出现两种以上不一致的，按照前款规定的顺序修正。</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评标委员会将按上述修正错误的方法调整投标文件中的投标报价，并通过“苏采云”系统告知投标人，调整后的价格对投标人具有约束力。如果投标人不接受修正后的价格，则其投标将被拒绝。</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22.2.5投标人在开、评标全过程中应</w:t>
      </w:r>
      <w:r>
        <w:rPr>
          <w:rFonts w:hint="eastAsia" w:ascii="宋体" w:hAnsi="宋体" w:eastAsia="宋体" w:cs="宋体"/>
          <w:color w:val="000000"/>
          <w:szCs w:val="21"/>
          <w:highlight w:val="none"/>
          <w:lang w:eastAsia="zh-CN"/>
        </w:rPr>
        <w:t xml:space="preserve">保持通信畅通</w:t>
      </w:r>
      <w:r>
        <w:rPr>
          <w:rFonts w:hint="eastAsia" w:ascii="宋体" w:hAnsi="宋体" w:eastAsia="宋体" w:cs="宋体"/>
          <w:color w:val="000000"/>
          <w:szCs w:val="21"/>
          <w:highlight w:val="none"/>
        </w:rPr>
        <w:t xml:space="preserve">，及时登录“苏采云”系统查阅、答复相关信息，并安排专人与采购代理机构及评标委员会联系。</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22.2.6比较与评价。</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评标委员会应当按照招标文件中规定的评标方法和标准，对符合性审查合格的投标文件进行商务和技术评估，综合比较与评价。</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22.3 评标方法和标准</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22.3.1本次招标综合评分的主要因素是：价格、商务部分、技术部分等；评标委员会按照招标文件中规定的各项因素进行综合评审，本评分标准中价格、商务部分为客观分，由评标委员会统一打分；技术部分为主观分，由评委各自独立打分，取评标</w:t>
      </w:r>
      <w:r>
        <w:rPr>
          <w:rFonts w:hint="eastAsia" w:ascii="宋体" w:hAnsi="宋体" w:eastAsia="宋体" w:cs="宋体"/>
          <w:color w:val="000000"/>
          <w:szCs w:val="21"/>
          <w:highlight w:val="none"/>
          <w:lang w:eastAsia="zh-CN"/>
        </w:rPr>
        <w:t xml:space="preserve">委员</w:t>
      </w:r>
      <w:r>
        <w:rPr>
          <w:rFonts w:hint="eastAsia" w:ascii="宋体" w:hAnsi="宋体" w:eastAsia="宋体" w:cs="宋体"/>
          <w:color w:val="000000"/>
          <w:szCs w:val="21"/>
          <w:highlight w:val="none"/>
        </w:rPr>
        <w:t xml:space="preserve">会所有成员打分的平均值；汇总上述分值后为每一家投标单位的最终得分。</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22.3.2 综合评分的主要因素是：价格、商务部分、技术部分等；</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22.3.3 评分标准详见第三章</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lang w:eastAsia="zh-CN"/>
        </w:rPr>
        <w:t xml:space="preserve">23.</w:t>
      </w:r>
      <w:r>
        <w:rPr>
          <w:rFonts w:hint="eastAsia" w:ascii="宋体" w:hAnsi="宋体" w:eastAsia="宋体" w:cs="宋体"/>
          <w:color w:val="000000"/>
          <w:szCs w:val="21"/>
          <w:highlight w:val="none"/>
        </w:rPr>
        <w:t xml:space="preserve">确定中标供应商</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23.1 采用综合评分法的，评标结果按评审后得分由高到低顺序排列，并编写评审报告。评审得分相同的，按照报价由低到高的顺序推荐。评审得分且报价相同的，按照技术指标优劣顺序推荐。</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23.2 中标候选人确定后，默认按照以下第（2）种方式确定中标供应商</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（1）评标委员会直接确定排名第一的中标候选人为中标供应商；</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（2）采购人在评标报告确定的中标候选人名单中按顺序确定中标供应商。</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如按照第（2）种方式确定中标供应商的，采购代理机构在评标结束后2个工作日内将评标报告送交采购人。采购人自收到评标报告5个工作日内，在评标报告确定的中标候选人名单中按顺序确定中标供应商。</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因系统存储空间有限，中标结果公告届满之日起三十日后，“苏采云”系统不再保证提供下载中标通知书服务，因未及时下载而造成的不利后果由中标人自行承担。</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中标人在领取中标通知书时，需向采购代理机构提供纸质版投标文件一式</w:t>
      </w:r>
      <w:r>
        <w:rPr>
          <w:rFonts w:hint="eastAsia" w:ascii="宋体" w:hAnsi="宋体" w:eastAsia="宋体" w:cs="宋体"/>
          <w:color w:val="000000"/>
          <w:szCs w:val="21"/>
          <w:highlight w:val="none"/>
          <w:lang w:val="en-US" w:eastAsia="zh-CN"/>
        </w:rPr>
        <w:t xml:space="preserve">贰</w:t>
      </w:r>
      <w:r>
        <w:rPr>
          <w:rFonts w:hint="eastAsia" w:ascii="宋体" w:hAnsi="宋体" w:eastAsia="宋体" w:cs="宋体"/>
          <w:color w:val="000000"/>
          <w:szCs w:val="21"/>
          <w:highlight w:val="none"/>
        </w:rPr>
        <w:t xml:space="preserve">份（</w:t>
      </w:r>
      <w:r>
        <w:rPr>
          <w:rFonts w:hint="eastAsia" w:ascii="宋体" w:hAnsi="宋体" w:eastAsia="宋体" w:cs="宋体"/>
          <w:color w:val="000000"/>
          <w:szCs w:val="21"/>
          <w:highlight w:val="none"/>
          <w:lang w:val="en-US" w:eastAsia="zh-CN"/>
        </w:rPr>
        <w:t xml:space="preserve">苏采云系统上传</w:t>
      </w:r>
      <w:r>
        <w:rPr>
          <w:rFonts w:hint="eastAsia" w:ascii="宋体" w:hAnsi="宋体" w:eastAsia="宋体" w:cs="宋体"/>
          <w:color w:val="000000"/>
          <w:szCs w:val="21"/>
          <w:highlight w:val="none"/>
        </w:rPr>
        <w:t xml:space="preserve">版本），投标文件提倡按照A4幅面打印或复印并进行装订（采用胶装形式递交）。</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23.4 中标通知书对采购人和中标供应商具有同等法律效力。</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23.5 中标通知书发出后，采购人或中标供应商拒绝签订合同的，拒绝签订合同的一方应至少向另一方支付与投标保证金相等的补偿金，以及为招标、投标所发生的有关费用和双方商定的其他补偿。</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23.6 中标通知书发出后，中标供应商无正当理由不与采购人签订合同的，投标保证金不予退还；情节严重的，由财政部门将其列入不良行为记录名单，在一至三年内禁止参加政府采购活动，并予以通报。</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23.7 代理机构对未中标的投标人不作未中标原因的解释。</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23.8 所有投标文件不论中标与否，代理机构均不退回。</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24.编写评标报告</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24.1 评标委员会根据全体评标成员签字的原始评标记录和评标结果编写评标报告。</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25.评标过程的保密性</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25.1 代理机构将采取必要措施，保证评标在严格保密的情况下进行。</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25.2 任何单位和个人不得非法干预、影响评标办法的确定，以及评标过程和结果。</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25.3 凡是与审查、澄清、评价和比较投标的有关资料等，均不向投标人及与评标无关的其他人员透露。</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六、签订合同</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26.签订合同</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26.1 中标供应商应当自中标通知书发出之日起三十日内，按照招标文件和中标供应商投标文件的约定与采购人签订政府采购合同，所签订的合同不得对招标文件和中标供应商投标文件作实质性修改。</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26.2 采购人不得向中标供应商提出任何不合理的要求作为签订合同的条件，不得与中标供应商私下订立背离合同实质性内容的协议。</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26.3 中标人拒绝与采购人签订合同的，采购人可以按照评审报告推荐的中标或者成交候选人名单排序，确定下一候选人为中标或者成交供应商，也可以重新开展政府采购活动。</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26.4 政府采购合同履行中，采购人需追加与合同标的相同的货物的，在不改变合同其他条款的前提下，可以与供应商协商签订补充合同，但所有补充合同的采购金额不得超过原合同采购金额的百分之十。</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七、质疑和投诉</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27.质疑</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27.1供应商对招标活动事项有疑问的，可以向招标代理机构提出询问，招标代理机构将依法作出答复，但答复的内容不涉及商业秘密。</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27.2提出质疑的供应商应当是参与所质疑项目采购活动的供应商。潜在供应商已依法获取其可质疑的采购文件的，可以对该文件提出质疑。</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以联合体形式参加政府采购活动的，其质疑应当由组成联合体的所有供应商共同提出。</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27.3供应商认为采购文件、采购过程和中标结果使自己的合法权益受到损害的，可以在知道或者应知其权益受到损害之日起七个工作日内，将质疑文件原件送达采购人或采购代理机构。供应商应知其权益受到损害之日，是指：对采购文件提出质疑的，应当在获取采购文件或者采购文件公告期限届满之日起7个工作日内提出；对采购过程提出质疑的，为各采购程序环节结束之日；对中标或者成交结果提出质疑的，为中标或者成交结果公告期限届满之日。供应商必须在法定质疑期内一次性提出针对同一采购程序环节的质疑。</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27.4供应商提出质疑应当提交质疑函和必要的证明材料。质疑函应当包括下列内容：</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（一）供应商的姓名或者名称、地址、邮编、联系人及联系电话；</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（二）质疑项目的名称、编号；</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（三）具体、明确的质疑事项和与质疑事项相关的请求（具体条款）；</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（四）事实依据（具体条款）；</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（五）必要的法律依据（具体条款）；</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（六）提出质疑的日期。</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质疑函应当使用中文。相关当事人提供外文书证或者外国语视听资料的，应当附有中文译本，由翻译机构盖章或者翻译人员签名。</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27.5质疑函应当现场提交至采购代理机构联系人处，提交时应出示有效身份证明。未按上述要求提交质疑函的，质疑不予受理。</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27.6投标供应商不得虚假质疑和恶意质疑，并对质疑内容的真实性承担责任。投标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27.7采购代理机构在收到投标供应商的书面质疑后将及时组织调查核实，在七个工作日内作出答复，并以书面或在网站公告形式通知质疑投标供应商和其他有关投标供应商，答复的内容不涉及商业秘密。遵循“谁过错谁负担”的原则，有过错的一方承担调查论证费用。</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28.投诉</w:t>
      </w:r>
      <w:r/>
    </w:p>
    <w:p>
      <w:pPr>
        <w:ind w:firstLine="420"/>
        <w:spacing w:line="440" w:lineRule="exac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28.1质疑投标人对采购代理机构的答复不满意或者采购代理机构未在规定的时间内作出答复的，可以在答复期满后十五个工作日内向同级政府采购监督管理部门投诉。</w:t>
      </w:r>
      <w:r/>
    </w:p>
    <w:p>
      <w:pPr>
        <w:ind w:firstLine="420"/>
        <w:spacing w:line="440" w:lineRule="exac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28.2 投标人投诉应当有明确的请求和必要的证明材料。投标人投诉的事项不得超出已质疑事项的范围。</w:t>
      </w:r>
      <w:r/>
    </w:p>
    <w:p>
      <w:pPr>
        <w:ind w:firstLine="420"/>
        <w:spacing w:line="440" w:lineRule="exac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28.3投诉人对政府采购监督管理部门的投诉处理决定不服或者政府采购监督管理部门逾期未作处理的，可以依法申请行政复议或者向人民法院提起行政诉讼。</w:t>
      </w:r>
      <w:r/>
    </w:p>
    <w:p>
      <w:pPr>
        <w:ind w:firstLine="420"/>
        <w:spacing w:line="440" w:lineRule="exac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28.4 投诉人在全国范围12个月内3次以上投诉查无实据的，由财政部门列入不良行为记录名单。</w:t>
      </w:r>
      <w:r/>
    </w:p>
    <w:p>
      <w:pPr>
        <w:ind w:firstLine="420"/>
        <w:spacing w:line="440" w:lineRule="exac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28.5投诉人有下列行为之一的，属于虚假、恶意投诉，由财政部门列入不良行为记录名单，禁止其1至3年内参加政府采购活动：</w:t>
      </w:r>
      <w:r/>
    </w:p>
    <w:p>
      <w:pPr>
        <w:ind w:firstLine="420"/>
        <w:spacing w:line="440" w:lineRule="exac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（1）捏造事实；</w:t>
      </w:r>
      <w:r/>
    </w:p>
    <w:p>
      <w:pPr>
        <w:ind w:firstLine="420"/>
        <w:spacing w:line="440" w:lineRule="exac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（2）提供虚假材料；</w:t>
      </w:r>
      <w:r/>
    </w:p>
    <w:p>
      <w:pPr>
        <w:ind w:firstLine="420"/>
        <w:spacing w:line="440" w:lineRule="exac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（3）以非法手段取得证明材料。证据来源的合法性存在明显疑问，投诉人无法证明其取得方式合法的，视为以非法手段取得证明材料。</w:t>
      </w:r>
      <w:r/>
    </w:p>
    <w:p>
      <w:pPr>
        <w:ind w:firstLine="420"/>
        <w:spacing w:line="440" w:lineRule="exac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29.违约风险及处罚</w:t>
      </w:r>
      <w:r/>
    </w:p>
    <w:p>
      <w:pPr>
        <w:ind w:firstLine="420"/>
        <w:spacing w:line="440" w:lineRule="exac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p>
    <w:p>
      <w:pPr>
        <w:jc w:val="center"/>
        <w:spacing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highlight w:val="none"/>
        </w:rPr>
        <w:br w:type="page" w:clear="all"/>
      </w:r>
      <w:bookmarkStart w:id="3" w:name="_Toc3616"/>
      <w:r>
        <w:rPr>
          <w:rFonts w:hint="eastAsia" w:ascii="宋体" w:hAnsi="宋体" w:eastAsia="宋体" w:cs="宋体"/>
          <w:b/>
          <w:color w:val="000000"/>
          <w:sz w:val="32"/>
          <w:highlight w:val="none"/>
        </w:rPr>
        <w:t xml:space="preserve">第三章评标标准</w:t>
      </w:r>
      <w:bookmarkEnd w:id="3"/>
      <w:r/>
      <w:r/>
    </w:p>
    <w:p>
      <w:pPr>
        <w:ind w:firstLine="420"/>
        <w:spacing w:before="240" w:after="240" w:line="240" w:lineRule="auto"/>
        <w:shd w:val="clear" w:color="ffffff" w:fill="ffff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评标委员会按照招标文件中规定的各项因素进行综合评审，本评分标准中客观分由评标委员会统一打分；主观分由评委各自独立打分，取评标</w:t>
      </w:r>
      <w:r>
        <w:rPr>
          <w:rFonts w:hint="eastAsia" w:ascii="宋体" w:hAnsi="宋体" w:eastAsia="宋体" w:cs="宋体"/>
          <w:color w:val="000000"/>
          <w:highlight w:val="none"/>
          <w:lang w:eastAsia="zh-CN"/>
        </w:rPr>
        <w:t xml:space="preserve">委员</w:t>
      </w:r>
      <w:r>
        <w:rPr>
          <w:rFonts w:hint="eastAsia" w:ascii="宋体" w:hAnsi="宋体" w:eastAsia="宋体" w:cs="宋体"/>
          <w:color w:val="000000"/>
          <w:highlight w:val="none"/>
        </w:rPr>
        <w:t xml:space="preserve">会所有成员打分的平均值；汇总上述分值后为每一家投标单位的最终得分。</w:t>
      </w:r>
      <w:r/>
    </w:p>
    <w:tbl>
      <w:tblPr>
        <w:tblStyle w:val="687"/>
        <w:tblW w:w="0" w:type="auto"/>
        <w:tblInd w:w="-2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03"/>
        <w:gridCol w:w="1140"/>
        <w:gridCol w:w="6914"/>
        <w:gridCol w:w="697"/>
      </w:tblGrid>
      <w:tr>
        <w:trPr>
          <w:trHeight w:val="90"/>
        </w:trPr>
        <w:tc>
          <w:tcPr>
            <w:tcMar>
              <w:left w:w="108" w:type="dxa"/>
              <w:top w:w="0" w:type="dxa"/>
              <w:right w:w="108" w:type="dxa"/>
              <w:bottom w:w="0" w:type="dxa"/>
            </w:tcMar>
            <w:tcW w:w="603" w:type="dxa"/>
            <w:vAlign w:val="center"/>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rPr>
              <w:t xml:space="preserve">序号</w:t>
            </w:r>
            <w:r/>
          </w:p>
        </w:tc>
        <w:tc>
          <w:tcPr>
            <w:tcMar>
              <w:left w:w="108" w:type="dxa"/>
              <w:top w:w="0" w:type="dxa"/>
              <w:right w:w="108" w:type="dxa"/>
              <w:bottom w:w="0" w:type="dxa"/>
            </w:tcMar>
            <w:tcW w:w="1140" w:type="dxa"/>
            <w:vAlign w:val="center"/>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rPr>
              <w:t xml:space="preserve">评审因素</w:t>
            </w:r>
            <w:r/>
          </w:p>
        </w:tc>
        <w:tc>
          <w:tcPr>
            <w:tcMar>
              <w:left w:w="108" w:type="dxa"/>
              <w:top w:w="0" w:type="dxa"/>
              <w:right w:w="108" w:type="dxa"/>
              <w:bottom w:w="0" w:type="dxa"/>
            </w:tcMar>
            <w:tcW w:w="6914" w:type="dxa"/>
            <w:vAlign w:val="center"/>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rPr>
              <w:t xml:space="preserve">评审标准</w:t>
            </w:r>
            <w:r/>
          </w:p>
        </w:tc>
        <w:tc>
          <w:tcPr>
            <w:tcMar>
              <w:left w:w="108" w:type="dxa"/>
              <w:top w:w="0" w:type="dxa"/>
              <w:right w:w="108" w:type="dxa"/>
              <w:bottom w:w="0" w:type="dxa"/>
            </w:tcMar>
            <w:tcW w:w="697" w:type="dxa"/>
            <w:vAlign w:val="center"/>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rPr>
              <w:t xml:space="preserve">分值</w:t>
            </w:r>
            <w:r/>
          </w:p>
        </w:tc>
      </w:tr>
      <w:tr>
        <w:trPr>
          <w:trHeight w:val="1104"/>
        </w:trPr>
        <w:tc>
          <w:tcPr>
            <w:tcMar>
              <w:left w:w="108" w:type="dxa"/>
              <w:top w:w="0" w:type="dxa"/>
              <w:right w:w="108" w:type="dxa"/>
              <w:bottom w:w="0" w:type="dxa"/>
            </w:tcMar>
            <w:tcW w:w="603" w:type="dxa"/>
            <w:vAlign w:val="center"/>
            <w:textDirection w:val="lrTb"/>
            <w:noWrap w:val="false"/>
          </w:tcPr>
          <w:p>
            <w:pPr>
              <w:jc w:val="center"/>
              <w:spacing w:line="85" w:lineRule="atLeast"/>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highlight w:val="none"/>
              </w:rPr>
              <w:t xml:space="preserve">1</w:t>
            </w:r>
            <w:r/>
          </w:p>
        </w:tc>
        <w:tc>
          <w:tcPr>
            <w:tcMar>
              <w:left w:w="108" w:type="dxa"/>
              <w:top w:w="0" w:type="dxa"/>
              <w:right w:w="108" w:type="dxa"/>
              <w:bottom w:w="0" w:type="dxa"/>
            </w:tcMar>
            <w:tcW w:w="1140" w:type="dxa"/>
            <w:vAlign w:val="center"/>
            <w:textDirection w:val="lrTb"/>
            <w:noWrap w:val="false"/>
          </w:tcPr>
          <w:p>
            <w:pPr>
              <w:jc w:val="center"/>
              <w:spacing w:line="85" w:lineRule="atLeast"/>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highlight w:val="none"/>
              </w:rPr>
              <w:t xml:space="preserve">价格</w:t>
            </w:r>
            <w:r/>
          </w:p>
          <w:p>
            <w:pPr>
              <w:jc w:val="center"/>
              <w:spacing w:line="85" w:lineRule="atLeast"/>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highlight w:val="none"/>
              </w:rPr>
              <w:t xml:space="preserve">（30分）</w:t>
            </w:r>
            <w:r/>
          </w:p>
        </w:tc>
        <w:tc>
          <w:tcPr>
            <w:tcMar>
              <w:left w:w="108" w:type="dxa"/>
              <w:top w:w="0" w:type="dxa"/>
              <w:right w:w="108" w:type="dxa"/>
              <w:bottom w:w="0" w:type="dxa"/>
            </w:tcMar>
            <w:tcW w:w="6914" w:type="dxa"/>
            <w:vAlign w:val="center"/>
            <w:textDirection w:val="lrTb"/>
            <w:noWrap w:val="false"/>
          </w:tcPr>
          <w:p>
            <w:pPr>
              <w:spacing w:line="85" w:lineRule="atLeast"/>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采用低价优先法计算，即满足招标文件要求且投标价格最低的投标报价为评标基准价，其价格分为满分。其他投标人的价格分统一按照下列公式计算：投标报价得分=（评标基准价/投标报价）×30（小数点后保留两位）。</w:t>
            </w:r>
            <w:r/>
          </w:p>
        </w:tc>
        <w:tc>
          <w:tcPr>
            <w:tcMar>
              <w:left w:w="108" w:type="dxa"/>
              <w:top w:w="0" w:type="dxa"/>
              <w:right w:w="108" w:type="dxa"/>
              <w:bottom w:w="0" w:type="dxa"/>
            </w:tcMar>
            <w:tcW w:w="697" w:type="dxa"/>
            <w:vAlign w:val="center"/>
            <w:textDirection w:val="lrTb"/>
            <w:noWrap w:val="false"/>
          </w:tcPr>
          <w:p>
            <w:pPr>
              <w:jc w:val="center"/>
              <w:spacing w:line="85" w:lineRule="atLeast"/>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30</w:t>
            </w:r>
            <w:r/>
          </w:p>
        </w:tc>
      </w:tr>
      <w:tr>
        <w:trPr>
          <w:trHeight w:val="1055"/>
        </w:trPr>
        <w:tc>
          <w:tcPr>
            <w:tcMar>
              <w:left w:w="108" w:type="dxa"/>
              <w:top w:w="0" w:type="dxa"/>
              <w:right w:w="108" w:type="dxa"/>
              <w:bottom w:w="0" w:type="dxa"/>
            </w:tcMar>
            <w:tcW w:w="603" w:type="dxa"/>
            <w:vAlign w:val="center"/>
            <w:textDirection w:val="lrTb"/>
            <w:noWrap w:val="false"/>
          </w:tcPr>
          <w:p>
            <w:pPr>
              <w:jc w:val="center"/>
              <w:spacing w:line="85" w:lineRule="atLeast"/>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highlight w:val="none"/>
              </w:rPr>
              <w:t xml:space="preserve">2</w:t>
            </w:r>
            <w:r/>
          </w:p>
        </w:tc>
        <w:tc>
          <w:tcPr>
            <w:tcMar>
              <w:left w:w="108" w:type="dxa"/>
              <w:top w:w="0" w:type="dxa"/>
              <w:right w:w="108" w:type="dxa"/>
              <w:bottom w:w="0" w:type="dxa"/>
            </w:tcMar>
            <w:tcW w:w="1140" w:type="dxa"/>
            <w:vAlign w:val="center"/>
            <w:textDirection w:val="lrTb"/>
            <w:noWrap w:val="false"/>
          </w:tcPr>
          <w:p>
            <w:pPr>
              <w:jc w:val="center"/>
              <w:spacing w:line="85" w:lineRule="atLeast"/>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highlight w:val="none"/>
              </w:rPr>
              <w:t xml:space="preserve">技术参数（</w:t>
            </w:r>
            <w:r>
              <w:rPr>
                <w:rFonts w:hint="eastAsia" w:ascii="宋体" w:hAnsi="宋体" w:eastAsia="宋体" w:cs="宋体"/>
                <w:b/>
                <w:color w:val="000000"/>
                <w:szCs w:val="21"/>
                <w:highlight w:val="none"/>
                <w:lang w:val="en-US" w:eastAsia="zh-CN"/>
              </w:rPr>
              <w:t xml:space="preserve">25</w:t>
            </w:r>
            <w:r>
              <w:rPr>
                <w:rFonts w:hint="eastAsia" w:ascii="宋体" w:hAnsi="宋体" w:eastAsia="宋体" w:cs="宋体"/>
                <w:b/>
                <w:color w:val="000000"/>
                <w:szCs w:val="21"/>
                <w:highlight w:val="none"/>
              </w:rPr>
              <w:t xml:space="preserve">分）</w:t>
            </w:r>
            <w:r/>
          </w:p>
        </w:tc>
        <w:tc>
          <w:tcPr>
            <w:tcMar>
              <w:left w:w="108" w:type="dxa"/>
              <w:top w:w="0" w:type="dxa"/>
              <w:right w:w="108" w:type="dxa"/>
              <w:bottom w:w="0" w:type="dxa"/>
            </w:tcMar>
            <w:tcW w:w="6914" w:type="dxa"/>
            <w:vAlign w:val="center"/>
            <w:textDirection w:val="lrTb"/>
            <w:noWrap w:val="false"/>
          </w:tcPr>
          <w:p>
            <w:pPr>
              <w:spacing w:line="85" w:lineRule="atLeast"/>
              <w:rPr>
                <w:rFonts w:hint="eastAsia" w:ascii="宋体" w:hAnsi="宋体" w:eastAsia="宋体" w:cs="宋体"/>
                <w:color w:val="000000"/>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投标产品对招标文件第四章具体需求的响应程度：全部响应即满足招标文件的技术和服务等要求的得</w:t>
            </w:r>
            <w:r>
              <w:rPr>
                <w:rFonts w:hint="eastAsia" w:ascii="宋体" w:hAnsi="宋体" w:eastAsia="宋体" w:cs="宋体"/>
                <w:color w:val="000000"/>
                <w:szCs w:val="21"/>
                <w:highlight w:val="none"/>
                <w:lang w:val="en-US" w:eastAsia="zh-CN"/>
              </w:rPr>
              <w:t xml:space="preserve">25</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lang w:eastAsia="zh-CN"/>
              </w:rPr>
              <w:t xml:space="preserve">招标文件中标注</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eastAsia="zh-CN"/>
              </w:rPr>
              <w:t xml:space="preserve">的内容</w:t>
            </w:r>
            <w:r>
              <w:rPr>
                <w:rFonts w:hint="eastAsia" w:ascii="宋体" w:hAnsi="宋体" w:eastAsia="宋体" w:cs="宋体"/>
                <w:color w:val="000000"/>
                <w:szCs w:val="21"/>
                <w:highlight w:val="none"/>
              </w:rPr>
              <w:t xml:space="preserve">为实质性</w:t>
            </w:r>
            <w:r>
              <w:rPr>
                <w:rFonts w:hint="eastAsia" w:ascii="宋体" w:hAnsi="宋体" w:eastAsia="宋体" w:cs="宋体"/>
                <w:color w:val="000000"/>
                <w:szCs w:val="21"/>
                <w:highlight w:val="none"/>
                <w:lang w:eastAsia="zh-CN"/>
              </w:rPr>
              <w:t xml:space="preserve">要求</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eastAsia="zh-CN"/>
              </w:rPr>
              <w:t xml:space="preserve">有一项不符合的，</w:t>
            </w:r>
            <w:r>
              <w:rPr>
                <w:rFonts w:hint="eastAsia" w:ascii="宋体" w:hAnsi="宋体" w:eastAsia="宋体" w:cs="宋体"/>
                <w:color w:val="000000"/>
                <w:szCs w:val="21"/>
                <w:highlight w:val="none"/>
              </w:rPr>
              <w:t xml:space="preserve">作为无效投标</w:t>
            </w:r>
            <w:r>
              <w:rPr>
                <w:rFonts w:hint="eastAsia" w:ascii="宋体" w:hAnsi="宋体" w:eastAsia="宋体" w:cs="宋体"/>
                <w:color w:val="000000"/>
                <w:szCs w:val="21"/>
                <w:highlight w:val="none"/>
                <w:lang w:eastAsia="zh-CN"/>
              </w:rPr>
              <w:t xml:space="preserve">处理；招标文件中标注</w:t>
            </w:r>
            <w:r>
              <w:rPr>
                <w:rFonts w:hint="eastAsia" w:ascii="宋体" w:hAnsi="宋体" w:eastAsia="宋体" w:cs="宋体"/>
                <w:color w:val="000000"/>
                <w:szCs w:val="21"/>
                <w:highlight w:val="none"/>
              </w:rPr>
              <w:t xml:space="preserve">“▲”项为重要</w:t>
            </w:r>
            <w:r>
              <w:rPr>
                <w:rFonts w:hint="eastAsia" w:ascii="宋体" w:hAnsi="宋体" w:eastAsia="宋体" w:cs="宋体"/>
                <w:color w:val="000000"/>
                <w:szCs w:val="21"/>
                <w:highlight w:val="none"/>
                <w:lang w:eastAsia="zh-CN"/>
              </w:rPr>
              <w:t xml:space="preserve">参数，</w:t>
            </w:r>
            <w:r>
              <w:rPr>
                <w:rFonts w:hint="eastAsia" w:ascii="宋体" w:hAnsi="宋体" w:eastAsia="宋体" w:cs="宋体"/>
                <w:color w:val="000000"/>
                <w:szCs w:val="21"/>
                <w:highlight w:val="none"/>
              </w:rPr>
              <w:t xml:space="preserve">每有一项负偏离扣</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lang w:eastAsia="zh-CN"/>
              </w:rPr>
              <w:t xml:space="preserve">其他</w:t>
            </w:r>
            <w:r>
              <w:rPr>
                <w:rFonts w:hint="eastAsia" w:ascii="宋体" w:hAnsi="宋体" w:eastAsia="宋体" w:cs="宋体"/>
                <w:color w:val="000000"/>
                <w:szCs w:val="21"/>
                <w:highlight w:val="none"/>
              </w:rPr>
              <w:t xml:space="preserve">项每有一项负偏离扣</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分，扣完为止。</w:t>
            </w:r>
            <w:r>
              <w:rPr>
                <w:rFonts w:hint="eastAsia" w:ascii="宋体" w:hAnsi="宋体" w:eastAsia="宋体" w:cs="宋体"/>
                <w:color w:val="000000"/>
                <w:szCs w:val="21"/>
                <w:highlight w:val="none"/>
                <w:lang w:eastAsia="zh-CN"/>
              </w:rPr>
              <w:t xml:space="preserve">（负偏离不得改变该产品品质等级和性能使用，严重负偏离且影响产品性能的，经半数以上评委认定，本项不得分）。</w:t>
            </w:r>
            <w:r/>
          </w:p>
          <w:p>
            <w:pPr>
              <w:numPr>
                <w:ilvl w:val="0"/>
                <w:numId w:val="0"/>
              </w:numPr>
              <w:spacing w:line="85" w:lineRule="atLeast"/>
              <w:rPr>
                <w:rFonts w:hint="eastAsia" w:ascii="宋体" w:hAnsi="宋体" w:eastAsia="宋体" w:cs="宋体"/>
                <w:b/>
                <w:bCs/>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1"/>
                <w:szCs w:val="21"/>
                <w:highlight w:val="none"/>
                <w:lang w:val="en-US" w:eastAsia="zh-CN" w:bidi="ar-SA"/>
              </w:rPr>
              <w:t xml:space="preserve">（1）</w:t>
            </w:r>
            <w:r>
              <w:rPr>
                <w:rFonts w:hint="eastAsia" w:ascii="宋体" w:hAnsi="宋体" w:eastAsia="宋体" w:cs="宋体"/>
                <w:b/>
                <w:bCs/>
                <w:szCs w:val="21"/>
                <w:highlight w:val="none"/>
              </w:rPr>
              <w:t xml:space="preserve">对标注“★”和“▲”项的技术要求必须在投标文件中提供第三方机构出具的检验报告或原厂的产品说明书</w:t>
            </w:r>
            <w:r>
              <w:rPr>
                <w:rFonts w:hint="eastAsia" w:ascii="宋体" w:hAnsi="宋体" w:eastAsia="宋体" w:cs="宋体"/>
                <w:b/>
                <w:bCs/>
                <w:szCs w:val="21"/>
                <w:highlight w:val="none"/>
                <w:lang w:val="en-US" w:eastAsia="zh-CN"/>
              </w:rPr>
              <w:t xml:space="preserve">或</w:t>
            </w:r>
            <w:r>
              <w:rPr>
                <w:rFonts w:hint="eastAsia" w:ascii="宋体" w:hAnsi="宋体" w:eastAsia="宋体" w:cs="宋体"/>
                <w:b/>
                <w:bCs/>
                <w:szCs w:val="21"/>
                <w:highlight w:val="none"/>
              </w:rPr>
              <w:t xml:space="preserve">产品彩页</w:t>
            </w:r>
            <w:r>
              <w:rPr>
                <w:rFonts w:hint="eastAsia" w:ascii="宋体" w:hAnsi="宋体" w:eastAsia="宋体" w:cs="宋体"/>
                <w:b/>
                <w:bCs/>
                <w:szCs w:val="21"/>
                <w:highlight w:val="none"/>
                <w:lang w:val="en-US" w:eastAsia="zh-CN"/>
              </w:rPr>
              <w:t xml:space="preserve">或</w:t>
            </w:r>
            <w:r>
              <w:rPr>
                <w:rFonts w:hint="eastAsia" w:ascii="宋体" w:hAnsi="宋体" w:eastAsia="宋体" w:cs="宋体"/>
                <w:b/>
                <w:bCs/>
                <w:szCs w:val="21"/>
                <w:highlight w:val="none"/>
              </w:rPr>
              <w:t xml:space="preserve">技术白皮书</w:t>
            </w:r>
            <w:r>
              <w:rPr>
                <w:rFonts w:hint="eastAsia" w:ascii="宋体" w:hAnsi="宋体" w:eastAsia="宋体" w:cs="宋体"/>
                <w:b/>
                <w:bCs/>
                <w:szCs w:val="21"/>
                <w:highlight w:val="none"/>
                <w:lang w:val="en-US" w:eastAsia="zh-CN"/>
              </w:rPr>
              <w:t xml:space="preserve">或</w:t>
            </w:r>
            <w:r>
              <w:rPr>
                <w:rFonts w:hint="eastAsia" w:ascii="宋体" w:hAnsi="宋体" w:eastAsia="宋体" w:cs="宋体"/>
                <w:b/>
                <w:bCs/>
                <w:szCs w:val="21"/>
                <w:highlight w:val="none"/>
              </w:rPr>
              <w:t xml:space="preserve">可查询的产品制造商官网截图（附官网链接）等佐证材料（如为复印件需加盖投标人公章），未提供佐证资料的，评标时不予认可。</w:t>
            </w:r>
            <w:r/>
          </w:p>
          <w:p>
            <w:pPr>
              <w:numPr>
                <w:ilvl w:val="0"/>
                <w:numId w:val="0"/>
              </w:numPr>
              <w:ind w:left="0" w:firstLine="0"/>
              <w:spacing w:line="85" w:lineRule="atLeast"/>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Cs w:val="21"/>
                <w:highlight w:val="none"/>
              </w:rPr>
              <w:t xml:space="preserve">（2）其他非重要参数则以技术</w:t>
            </w:r>
            <w:r>
              <w:rPr>
                <w:rFonts w:hint="eastAsia" w:ascii="宋体" w:hAnsi="宋体" w:eastAsia="宋体" w:cs="宋体"/>
                <w:b/>
                <w:bCs/>
                <w:szCs w:val="21"/>
                <w:highlight w:val="none"/>
                <w:lang w:val="en-US" w:eastAsia="zh-CN"/>
              </w:rPr>
              <w:t xml:space="preserve">规格</w:t>
            </w:r>
            <w:r>
              <w:rPr>
                <w:rFonts w:hint="eastAsia" w:ascii="宋体" w:hAnsi="宋体" w:eastAsia="宋体" w:cs="宋体"/>
                <w:b/>
                <w:bCs/>
                <w:szCs w:val="21"/>
                <w:highlight w:val="none"/>
              </w:rPr>
              <w:t xml:space="preserve">偏离表中应答为准</w:t>
            </w:r>
            <w:r>
              <w:rPr>
                <w:rFonts w:hint="eastAsia" w:ascii="宋体" w:hAnsi="宋体" w:eastAsia="宋体" w:cs="宋体"/>
                <w:b/>
                <w:bCs/>
                <w:color w:val="000000"/>
                <w:szCs w:val="21"/>
                <w:highlight w:val="none"/>
              </w:rPr>
              <w:t xml:space="preserve">。</w:t>
            </w:r>
            <w:r/>
          </w:p>
        </w:tc>
        <w:tc>
          <w:tcPr>
            <w:tcMar>
              <w:left w:w="108" w:type="dxa"/>
              <w:top w:w="0" w:type="dxa"/>
              <w:right w:w="108" w:type="dxa"/>
              <w:bottom w:w="0" w:type="dxa"/>
            </w:tcMar>
            <w:tcW w:w="697" w:type="dxa"/>
            <w:vAlign w:val="center"/>
            <w:textDirection w:val="lrTb"/>
            <w:noWrap w:val="false"/>
          </w:tcPr>
          <w:p>
            <w:pPr>
              <w:jc w:val="center"/>
              <w:spacing w:line="85" w:lineRule="atLeast"/>
              <w:rPr>
                <w:rFonts w:hint="default" w:ascii="宋体" w:hAnsi="宋体" w:eastAsia="宋体" w:cs="宋体"/>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lang w:val="en-US" w:eastAsia="zh-CN"/>
              </w:rPr>
              <w:t xml:space="preserve">25</w:t>
            </w:r>
            <w:r/>
          </w:p>
        </w:tc>
      </w:tr>
      <w:tr>
        <w:trPr>
          <w:trHeight w:val="1077"/>
        </w:trPr>
        <w:tc>
          <w:tcPr>
            <w:tcMar>
              <w:left w:w="108" w:type="dxa"/>
              <w:top w:w="0" w:type="dxa"/>
              <w:right w:w="108" w:type="dxa"/>
              <w:bottom w:w="0" w:type="dxa"/>
            </w:tcMar>
            <w:tcW w:w="603" w:type="dxa"/>
            <w:vAlign w:val="center"/>
            <w:textDirection w:val="lrTb"/>
            <w:noWrap w:val="false"/>
          </w:tcPr>
          <w:p>
            <w:pPr>
              <w:jc w:val="center"/>
              <w:spacing w:line="85" w:lineRule="atLeast"/>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highlight w:val="none"/>
              </w:rPr>
              <w:t xml:space="preserve">3</w:t>
            </w:r>
            <w:r/>
          </w:p>
        </w:tc>
        <w:tc>
          <w:tcPr>
            <w:tcMar>
              <w:left w:w="108" w:type="dxa"/>
              <w:top w:w="0" w:type="dxa"/>
              <w:right w:w="108" w:type="dxa"/>
              <w:bottom w:w="0" w:type="dxa"/>
            </w:tcMar>
            <w:tcW w:w="1140" w:type="dxa"/>
            <w:vAlign w:val="center"/>
            <w:textDirection w:val="lrTb"/>
            <w:noWrap w:val="false"/>
          </w:tcPr>
          <w:p>
            <w:pPr>
              <w:jc w:val="center"/>
              <w:spacing w:line="85" w:lineRule="atLeast"/>
              <w:rPr>
                <w:rFonts w:hint="eastAsia" w:ascii="宋体" w:hAnsi="宋体" w:eastAsia="宋体" w:cs="宋体"/>
                <w:b/>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highlight w:val="none"/>
              </w:rPr>
              <w:t xml:space="preserve">企业</w:t>
            </w:r>
            <w:r>
              <w:rPr>
                <w:rFonts w:hint="eastAsia" w:ascii="宋体" w:hAnsi="宋体" w:eastAsia="宋体" w:cs="宋体"/>
                <w:b/>
                <w:color w:val="000000"/>
                <w:szCs w:val="21"/>
                <w:highlight w:val="none"/>
              </w:rPr>
              <w:t xml:space="preserve">业绩</w:t>
            </w:r>
            <w:r/>
          </w:p>
          <w:p>
            <w:pPr>
              <w:jc w:val="center"/>
              <w:spacing w:line="85" w:lineRule="atLeast"/>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highlight w:val="none"/>
              </w:rPr>
              <w:t xml:space="preserve">（</w:t>
            </w:r>
            <w:r>
              <w:rPr>
                <w:rFonts w:hint="eastAsia" w:ascii="宋体" w:hAnsi="宋体" w:eastAsia="宋体" w:cs="宋体"/>
                <w:b/>
                <w:color w:val="000000"/>
                <w:szCs w:val="21"/>
                <w:highlight w:val="none"/>
                <w:lang w:val="en-US" w:eastAsia="zh-CN"/>
              </w:rPr>
              <w:t xml:space="preserve">9</w:t>
            </w:r>
            <w:r>
              <w:rPr>
                <w:rFonts w:hint="eastAsia" w:ascii="宋体" w:hAnsi="宋体" w:eastAsia="宋体" w:cs="宋体"/>
                <w:b/>
                <w:color w:val="000000"/>
                <w:szCs w:val="21"/>
                <w:highlight w:val="none"/>
              </w:rPr>
              <w:t xml:space="preserve">分）</w:t>
            </w:r>
            <w:r/>
          </w:p>
        </w:tc>
        <w:tc>
          <w:tcPr>
            <w:tcMar>
              <w:left w:w="108" w:type="dxa"/>
              <w:top w:w="0" w:type="dxa"/>
              <w:right w:w="108" w:type="dxa"/>
              <w:bottom w:w="0" w:type="dxa"/>
            </w:tcMar>
            <w:tcW w:w="6914" w:type="dxa"/>
            <w:vAlign w:val="center"/>
            <w:textDirection w:val="lrTb"/>
            <w:noWrap w:val="false"/>
          </w:tcPr>
          <w:p>
            <w:pPr>
              <w:spacing w:line="85" w:lineRule="atLeast"/>
              <w:rPr>
                <w:rFonts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highlight w:val="none"/>
              </w:rPr>
              <w:t xml:space="preserve">投标人自2022年</w:t>
            </w:r>
            <w:r>
              <w:rPr>
                <w:rFonts w:hint="eastAsia" w:ascii="宋体" w:hAnsi="宋体" w:eastAsia="宋体" w:cs="宋体"/>
                <w:szCs w:val="21"/>
                <w:highlight w:val="none"/>
                <w:lang w:val="en-US" w:eastAsia="zh-CN"/>
              </w:rPr>
              <w:t xml:space="preserve">12</w:t>
            </w:r>
            <w:r>
              <w:rPr>
                <w:rFonts w:hint="eastAsia" w:ascii="宋体" w:hAnsi="宋体" w:eastAsia="宋体" w:cs="宋体"/>
                <w:szCs w:val="21"/>
                <w:highlight w:val="none"/>
              </w:rPr>
              <w:t xml:space="preserve">月1日（含）以来承担过类似</w:t>
            </w:r>
            <w:r>
              <w:rPr>
                <w:rFonts w:hint="eastAsia" w:ascii="宋体" w:hAnsi="宋体" w:eastAsia="宋体" w:cs="宋体"/>
                <w:szCs w:val="21"/>
                <w:highlight w:val="none"/>
                <w:lang w:val="en-US" w:eastAsia="zh-CN"/>
              </w:rPr>
              <w:t xml:space="preserve">产品供货成功</w:t>
            </w:r>
            <w:r>
              <w:rPr>
                <w:rFonts w:hint="eastAsia" w:ascii="宋体" w:hAnsi="宋体" w:eastAsia="宋体" w:cs="宋体"/>
                <w:szCs w:val="21"/>
                <w:highlight w:val="none"/>
              </w:rPr>
              <w:t xml:space="preserve">业绩的，每提供一个得</w:t>
            </w: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rPr>
              <w:t xml:space="preserve">分，最多得</w:t>
            </w:r>
            <w:r>
              <w:rPr>
                <w:rFonts w:hint="eastAsia" w:ascii="宋体" w:hAnsi="宋体" w:eastAsia="宋体" w:cs="宋体"/>
                <w:szCs w:val="21"/>
                <w:highlight w:val="none"/>
                <w:lang w:val="en-US" w:eastAsia="zh-CN"/>
              </w:rPr>
              <w:t xml:space="preserve">9</w:t>
            </w:r>
            <w:r>
              <w:rPr>
                <w:rFonts w:hint="eastAsia" w:ascii="宋体" w:hAnsi="宋体" w:eastAsia="宋体" w:cs="宋体"/>
                <w:szCs w:val="21"/>
                <w:highlight w:val="none"/>
              </w:rPr>
              <w:t xml:space="preserve">分。</w:t>
            </w:r>
            <w:r/>
          </w:p>
          <w:p>
            <w:pPr>
              <w:spacing w:line="85" w:lineRule="atLeast"/>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highlight w:val="none"/>
              </w:rPr>
              <w:t xml:space="preserve">（注：</w:t>
            </w:r>
            <w:r>
              <w:rPr>
                <w:rFonts w:hint="eastAsia" w:ascii="宋体" w:hAnsi="宋体"/>
                <w:szCs w:val="21"/>
                <w:highlight w:val="none"/>
              </w:rPr>
              <w:t xml:space="preserve">同时提供合同、中标或成交通知书、验收单和合同价款部分发票、时间以签订合同时间为准、不提供或提供不全不得分。</w:t>
            </w:r>
            <w:r>
              <w:rPr>
                <w:rFonts w:hint="eastAsia" w:ascii="宋体" w:hAnsi="宋体" w:eastAsia="宋体" w:cs="宋体"/>
                <w:szCs w:val="21"/>
                <w:highlight w:val="none"/>
              </w:rPr>
              <w:t xml:space="preserve">）</w:t>
            </w:r>
            <w:r/>
          </w:p>
        </w:tc>
        <w:tc>
          <w:tcPr>
            <w:tcMar>
              <w:left w:w="108" w:type="dxa"/>
              <w:top w:w="0" w:type="dxa"/>
              <w:right w:w="108" w:type="dxa"/>
              <w:bottom w:w="0" w:type="dxa"/>
            </w:tcMar>
            <w:tcW w:w="697" w:type="dxa"/>
            <w:vAlign w:val="center"/>
            <w:textDirection w:val="lrTb"/>
            <w:noWrap w:val="false"/>
          </w:tcPr>
          <w:p>
            <w:pPr>
              <w:jc w:val="center"/>
              <w:spacing w:line="85" w:lineRule="atLeast"/>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highlight w:val="none"/>
                <w:lang w:val="en-US" w:eastAsia="zh-CN"/>
              </w:rPr>
              <w:t xml:space="preserve">9</w:t>
            </w:r>
            <w:r/>
          </w:p>
        </w:tc>
      </w:tr>
      <w:tr>
        <w:trPr>
          <w:trHeight w:val="2889"/>
        </w:trPr>
        <w:tc>
          <w:tcPr>
            <w:tcMar>
              <w:left w:w="108" w:type="dxa"/>
              <w:top w:w="0" w:type="dxa"/>
              <w:right w:w="108" w:type="dxa"/>
              <w:bottom w:w="0" w:type="dxa"/>
            </w:tcMar>
            <w:tcW w:w="603" w:type="dxa"/>
            <w:vAlign w:val="center"/>
            <w:vMerge w:val="restart"/>
            <w:textDirection w:val="lrTb"/>
            <w:noWrap w:val="false"/>
          </w:tcPr>
          <w:p>
            <w:pPr>
              <w:jc w:val="center"/>
              <w:spacing w:line="85" w:lineRule="atLeast"/>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highlight w:val="none"/>
              </w:rPr>
              <w:t xml:space="preserve">4</w:t>
            </w:r>
            <w:r/>
          </w:p>
        </w:tc>
        <w:tc>
          <w:tcPr>
            <w:tcMar>
              <w:left w:w="108" w:type="dxa"/>
              <w:top w:w="0" w:type="dxa"/>
              <w:right w:w="108" w:type="dxa"/>
              <w:bottom w:w="0" w:type="dxa"/>
            </w:tcMar>
            <w:tcW w:w="1140" w:type="dxa"/>
            <w:vAlign w:val="center"/>
            <w:vMerge w:val="restart"/>
            <w:textDirection w:val="lrTb"/>
            <w:noWrap w:val="false"/>
          </w:tcPr>
          <w:p>
            <w:pPr>
              <w:jc w:val="center"/>
              <w:spacing w:line="85" w:lineRule="atLeast"/>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highlight w:val="none"/>
              </w:rPr>
              <w:t xml:space="preserve">实施方案</w:t>
            </w:r>
            <w:r/>
          </w:p>
          <w:p>
            <w:pPr>
              <w:jc w:val="center"/>
              <w:spacing w:line="85" w:lineRule="atLeast"/>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highlight w:val="none"/>
              </w:rPr>
              <w:t xml:space="preserve">（</w:t>
            </w:r>
            <w:r>
              <w:rPr>
                <w:rFonts w:hint="eastAsia" w:ascii="宋体" w:hAnsi="宋体" w:eastAsia="宋体" w:cs="宋体"/>
                <w:b/>
                <w:color w:val="000000"/>
                <w:szCs w:val="21"/>
                <w:highlight w:val="none"/>
                <w:lang w:val="en-US" w:eastAsia="zh-CN"/>
              </w:rPr>
              <w:t xml:space="preserve">36</w:t>
            </w:r>
            <w:r>
              <w:rPr>
                <w:rFonts w:hint="eastAsia" w:ascii="宋体" w:hAnsi="宋体" w:eastAsia="宋体" w:cs="宋体"/>
                <w:b/>
                <w:color w:val="000000"/>
                <w:szCs w:val="21"/>
                <w:highlight w:val="none"/>
              </w:rPr>
              <w:t xml:space="preserve">分）</w:t>
            </w:r>
            <w:r/>
          </w:p>
        </w:tc>
        <w:tc>
          <w:tcPr>
            <w:tcMar>
              <w:left w:w="108" w:type="dxa"/>
              <w:top w:w="0" w:type="dxa"/>
              <w:right w:w="108" w:type="dxa"/>
              <w:bottom w:w="0" w:type="dxa"/>
            </w:tcMar>
            <w:tcW w:w="6914" w:type="dxa"/>
            <w:vAlign w:val="center"/>
            <w:textDirection w:val="lrTb"/>
            <w:noWrap w:val="false"/>
          </w:tcPr>
          <w:p>
            <w:pPr>
              <w:spacing w:line="85" w:lineRule="atLeast"/>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评委根据投标人提供的设备运输、安装、调试等</w:t>
            </w:r>
            <w:r>
              <w:rPr>
                <w:rFonts w:hint="eastAsia" w:ascii="宋体" w:hAnsi="宋体" w:eastAsia="宋体" w:cs="宋体"/>
                <w:sz w:val="22"/>
                <w:szCs w:val="21"/>
                <w:highlight w:val="none"/>
              </w:rPr>
              <w:t xml:space="preserve">实施</w:t>
            </w:r>
            <w:r>
              <w:rPr>
                <w:rFonts w:hint="eastAsia" w:ascii="宋体" w:hAnsi="宋体" w:eastAsia="宋体" w:cs="宋体"/>
                <w:color w:val="000000"/>
                <w:szCs w:val="21"/>
                <w:highlight w:val="none"/>
              </w:rPr>
              <w:t xml:space="preserve">方案进行综合评分：</w:t>
            </w:r>
            <w:r/>
          </w:p>
          <w:p>
            <w:pPr>
              <w:spacing w:line="85" w:lineRule="atLeast"/>
              <w:rPr>
                <w:rFonts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项目实施标准规范，流程管理协调管理体系好，验收标准项目交付措施严谨，得</w:t>
            </w:r>
            <w:r>
              <w:rPr>
                <w:rFonts w:hint="eastAsia" w:ascii="宋体" w:hAnsi="宋体" w:eastAsia="宋体" w:cs="宋体"/>
                <w:color w:val="000000"/>
                <w:szCs w:val="21"/>
                <w:highlight w:val="none"/>
                <w:lang w:val="en-US" w:eastAsia="zh-CN"/>
              </w:rPr>
              <w:t xml:space="preserve">9</w:t>
            </w:r>
            <w:r>
              <w:rPr>
                <w:rFonts w:hint="eastAsia" w:ascii="宋体" w:hAnsi="宋体" w:eastAsia="宋体" w:cs="宋体"/>
                <w:color w:val="000000"/>
                <w:szCs w:val="21"/>
                <w:highlight w:val="none"/>
              </w:rPr>
              <w:t xml:space="preserve">分；</w:t>
            </w:r>
            <w:r/>
          </w:p>
          <w:p>
            <w:pPr>
              <w:spacing w:line="85" w:lineRule="atLeast"/>
              <w:rPr>
                <w:rFonts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项目实施符合规范，流程管理协调管理体系</w:t>
            </w:r>
            <w:r>
              <w:rPr>
                <w:rFonts w:hint="eastAsia" w:ascii="宋体" w:hAnsi="宋体" w:eastAsia="宋体" w:cs="宋体"/>
                <w:color w:val="000000"/>
                <w:szCs w:val="21"/>
                <w:highlight w:val="none"/>
                <w:lang w:val="en-US" w:eastAsia="zh-CN"/>
              </w:rPr>
              <w:t xml:space="preserve">较好</w:t>
            </w:r>
            <w:r>
              <w:rPr>
                <w:rFonts w:hint="eastAsia" w:ascii="宋体" w:hAnsi="宋体" w:eastAsia="宋体" w:cs="宋体"/>
                <w:color w:val="000000"/>
                <w:szCs w:val="21"/>
                <w:highlight w:val="none"/>
              </w:rPr>
              <w:t xml:space="preserve">，验收标准项目交付措施合理，得</w:t>
            </w: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分；</w:t>
            </w:r>
            <w:r/>
          </w:p>
          <w:p>
            <w:pPr>
              <w:spacing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项目实施基本规范，流程管理协调管理体系</w:t>
            </w:r>
            <w:r>
              <w:rPr>
                <w:rFonts w:hint="eastAsia" w:ascii="宋体" w:hAnsi="宋体" w:eastAsia="宋体" w:cs="宋体"/>
                <w:color w:val="000000"/>
                <w:szCs w:val="21"/>
                <w:highlight w:val="none"/>
                <w:lang w:val="en-US" w:eastAsia="zh-CN"/>
              </w:rPr>
              <w:t xml:space="preserve">较</w:t>
            </w:r>
            <w:r>
              <w:rPr>
                <w:rFonts w:hint="eastAsia" w:ascii="宋体" w:hAnsi="宋体" w:eastAsia="宋体" w:cs="宋体"/>
                <w:color w:val="000000"/>
                <w:szCs w:val="21"/>
                <w:highlight w:val="none"/>
              </w:rPr>
              <w:t xml:space="preserve">弱，验收标准项目交付措施一般，得</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分。</w:t>
            </w:r>
            <w:r/>
          </w:p>
          <w:p>
            <w:pPr>
              <w:spacing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项目实施基本规范，流程管理协调管理体系弱，验收标准项目交付措施</w:t>
            </w:r>
            <w:r>
              <w:rPr>
                <w:rFonts w:hint="eastAsia" w:ascii="宋体" w:hAnsi="宋体" w:eastAsia="宋体" w:cs="宋体"/>
                <w:color w:val="000000"/>
                <w:szCs w:val="21"/>
                <w:highlight w:val="none"/>
                <w:lang w:val="en-US" w:eastAsia="zh-CN"/>
              </w:rPr>
              <w:t xml:space="preserve">差</w:t>
            </w:r>
            <w:r>
              <w:rPr>
                <w:rFonts w:hint="eastAsia" w:ascii="宋体" w:hAnsi="宋体" w:eastAsia="宋体" w:cs="宋体"/>
                <w:color w:val="000000"/>
                <w:szCs w:val="21"/>
                <w:highlight w:val="none"/>
              </w:rPr>
              <w:t xml:space="preserve">，得</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分。未提供方案不得分。</w:t>
            </w:r>
            <w:r/>
          </w:p>
          <w:p>
            <w:pPr>
              <w:spacing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r>
            <w:r/>
          </w:p>
        </w:tc>
        <w:tc>
          <w:tcPr>
            <w:tcMar>
              <w:left w:w="108" w:type="dxa"/>
              <w:top w:w="0" w:type="dxa"/>
              <w:right w:w="108" w:type="dxa"/>
              <w:bottom w:w="0" w:type="dxa"/>
            </w:tcMar>
            <w:tcW w:w="697" w:type="dxa"/>
            <w:vAlign w:val="center"/>
            <w:textDirection w:val="lrTb"/>
            <w:noWrap w:val="false"/>
          </w:tcPr>
          <w:p>
            <w:pPr>
              <w:jc w:val="center"/>
              <w:spacing w:line="85" w:lineRule="atLeast"/>
              <w:rPr>
                <w:rFonts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lang w:val="en-US" w:eastAsia="zh-CN"/>
              </w:rPr>
              <w:t xml:space="preserve">9</w:t>
            </w:r>
            <w:r/>
          </w:p>
        </w:tc>
      </w:tr>
      <w:tr>
        <w:trPr>
          <w:trHeight w:val="90"/>
        </w:trPr>
        <w:tc>
          <w:tcPr>
            <w:tcMar>
              <w:left w:w="108" w:type="dxa"/>
              <w:top w:w="0" w:type="dxa"/>
              <w:right w:w="108" w:type="dxa"/>
              <w:bottom w:w="0" w:type="dxa"/>
            </w:tcMar>
            <w:tcW w:w="603" w:type="dxa"/>
            <w:vAlign w:val="center"/>
            <w:vMerge w:val="continue"/>
            <w:textDirection w:val="lrTb"/>
            <w:noWrap w:val="false"/>
          </w:tcPr>
          <w:p>
            <w:pPr>
              <w:jc w:val="center"/>
              <w:spacing w:line="85" w:lineRule="atLeast"/>
              <w:rPr>
                <w:rFonts w:hint="eastAsia"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r>
            <w:r/>
          </w:p>
        </w:tc>
        <w:tc>
          <w:tcPr>
            <w:tcMar>
              <w:left w:w="108" w:type="dxa"/>
              <w:top w:w="0" w:type="dxa"/>
              <w:right w:w="108" w:type="dxa"/>
              <w:bottom w:w="0" w:type="dxa"/>
            </w:tcMar>
            <w:tcW w:w="1140" w:type="dxa"/>
            <w:vAlign w:val="center"/>
            <w:vMerge w:val="continue"/>
            <w:textDirection w:val="lrTb"/>
            <w:noWrap w:val="false"/>
          </w:tcPr>
          <w:p>
            <w:pPr>
              <w:jc w:val="center"/>
              <w:spacing w:line="85" w:lineRule="atLeast"/>
              <w:rPr>
                <w:rFonts w:hint="eastAsia"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r>
            <w:r/>
          </w:p>
        </w:tc>
        <w:tc>
          <w:tcPr>
            <w:tcMar>
              <w:left w:w="108" w:type="dxa"/>
              <w:top w:w="0" w:type="dxa"/>
              <w:right w:w="108" w:type="dxa"/>
              <w:bottom w:w="0" w:type="dxa"/>
            </w:tcMar>
            <w:tcW w:w="6914" w:type="dxa"/>
            <w:vAlign w:val="center"/>
            <w:textDirection w:val="lrTb"/>
            <w:noWrap w:val="false"/>
          </w:tcPr>
          <w:p>
            <w:pPr>
              <w:spacing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评委根据投标人提供所投应急救援装备在不同应急场景下的技术实施方案：</w:t>
            </w:r>
            <w:r/>
          </w:p>
          <w:p>
            <w:pPr>
              <w:spacing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方案内容阐述合理、描述详细、切实可行有效得</w:t>
            </w:r>
            <w:r>
              <w:rPr>
                <w:rFonts w:hint="eastAsia" w:ascii="宋体" w:hAnsi="宋体" w:eastAsia="宋体" w:cs="宋体"/>
                <w:color w:val="000000"/>
                <w:szCs w:val="21"/>
                <w:highlight w:val="none"/>
                <w:lang w:val="en-US" w:eastAsia="zh-CN"/>
              </w:rPr>
              <w:t xml:space="preserve">9</w:t>
            </w:r>
            <w:r>
              <w:rPr>
                <w:rFonts w:hint="eastAsia" w:ascii="宋体" w:hAnsi="宋体" w:eastAsia="宋体" w:cs="宋体"/>
                <w:color w:val="000000"/>
                <w:szCs w:val="21"/>
                <w:highlight w:val="none"/>
              </w:rPr>
              <w:t xml:space="preserve">分；</w:t>
            </w:r>
            <w:r/>
          </w:p>
          <w:p>
            <w:pPr>
              <w:spacing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方案内容阐述较为合理、描述较为详细，能基本满足采购需求得</w:t>
            </w: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分；</w:t>
            </w:r>
            <w:r/>
          </w:p>
          <w:p>
            <w:pPr>
              <w:spacing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方案内容阐述</w:t>
            </w:r>
            <w:r>
              <w:rPr>
                <w:rFonts w:hint="eastAsia" w:ascii="宋体" w:hAnsi="宋体" w:eastAsia="宋体" w:cs="宋体"/>
                <w:color w:val="000000"/>
                <w:szCs w:val="21"/>
                <w:highlight w:val="none"/>
                <w:lang w:val="en-US" w:eastAsia="zh-CN"/>
              </w:rPr>
              <w:t xml:space="preserve">一般</w:t>
            </w:r>
            <w:r>
              <w:rPr>
                <w:rFonts w:hint="eastAsia" w:ascii="宋体" w:hAnsi="宋体" w:eastAsia="宋体" w:cs="宋体"/>
                <w:color w:val="000000"/>
                <w:szCs w:val="21"/>
                <w:highlight w:val="none"/>
              </w:rPr>
              <w:t xml:space="preserve">、描述</w:t>
            </w:r>
            <w:r>
              <w:rPr>
                <w:rFonts w:hint="eastAsia" w:ascii="宋体" w:hAnsi="宋体" w:eastAsia="宋体" w:cs="宋体"/>
                <w:color w:val="000000"/>
                <w:szCs w:val="21"/>
                <w:highlight w:val="none"/>
                <w:lang w:val="en-US" w:eastAsia="zh-CN"/>
              </w:rPr>
              <w:t xml:space="preserve">一般</w:t>
            </w:r>
            <w:r>
              <w:rPr>
                <w:rFonts w:hint="eastAsia" w:ascii="宋体" w:hAnsi="宋体" w:eastAsia="宋体" w:cs="宋体"/>
                <w:color w:val="000000"/>
                <w:szCs w:val="21"/>
                <w:highlight w:val="none"/>
              </w:rPr>
              <w:t xml:space="preserve">，能基本满足采购需求得</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分</w:t>
            </w:r>
            <w:r/>
          </w:p>
          <w:p>
            <w:pPr>
              <w:spacing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方案内容阐述合理性差或不详细具体全面得</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分；未提供的不得分。</w:t>
            </w:r>
            <w:r/>
          </w:p>
        </w:tc>
        <w:tc>
          <w:tcPr>
            <w:tcMar>
              <w:left w:w="108" w:type="dxa"/>
              <w:top w:w="0" w:type="dxa"/>
              <w:right w:w="108" w:type="dxa"/>
              <w:bottom w:w="0" w:type="dxa"/>
            </w:tcMar>
            <w:tcW w:w="697" w:type="dxa"/>
            <w:vAlign w:val="center"/>
            <w:textDirection w:val="lrTb"/>
            <w:noWrap w:val="false"/>
          </w:tcPr>
          <w:p>
            <w:pPr>
              <w:jc w:val="center"/>
              <w:spacing w:line="85" w:lineRule="atLeast"/>
              <w:rPr>
                <w:rFonts w:hint="eastAsia" w:ascii="宋体" w:hAnsi="宋体" w:eastAsia="宋体" w:cs="宋体"/>
                <w:color w:val="000000"/>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lang w:val="en-US" w:eastAsia="zh-CN"/>
              </w:rPr>
              <w:t xml:space="preserve">9</w:t>
            </w:r>
            <w:r/>
          </w:p>
        </w:tc>
      </w:tr>
      <w:tr>
        <w:trPr>
          <w:trHeight w:val="276"/>
        </w:trPr>
        <w:tc>
          <w:tcPr>
            <w:tcMar>
              <w:left w:w="108" w:type="dxa"/>
              <w:top w:w="0" w:type="dxa"/>
              <w:right w:w="108" w:type="dxa"/>
              <w:bottom w:w="0" w:type="dxa"/>
            </w:tcMar>
            <w:tcW w:w="603" w:type="dxa"/>
            <w:vAlign w:val="center"/>
            <w:vMerge w:val="continue"/>
            <w:textDirection w:val="lrTb"/>
            <w:noWrap w:val="false"/>
          </w:tcPr>
          <w:p>
            <w:pPr>
              <w:jc w:val="center"/>
              <w:spacing w:line="85" w:lineRule="atLeast"/>
              <w:rPr>
                <w:rFonts w:hint="eastAsia"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r>
            <w:r/>
          </w:p>
        </w:tc>
        <w:tc>
          <w:tcPr>
            <w:tcMar>
              <w:left w:w="108" w:type="dxa"/>
              <w:top w:w="0" w:type="dxa"/>
              <w:right w:w="108" w:type="dxa"/>
              <w:bottom w:w="0" w:type="dxa"/>
            </w:tcMar>
            <w:tcW w:w="1140" w:type="dxa"/>
            <w:vAlign w:val="center"/>
            <w:vMerge w:val="continue"/>
            <w:textDirection w:val="lrTb"/>
            <w:noWrap w:val="false"/>
          </w:tcPr>
          <w:p>
            <w:pPr>
              <w:jc w:val="center"/>
              <w:spacing w:line="85" w:lineRule="atLeast"/>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r>
            <w:r/>
          </w:p>
        </w:tc>
        <w:tc>
          <w:tcPr>
            <w:tcMar>
              <w:left w:w="108" w:type="dxa"/>
              <w:top w:w="0" w:type="dxa"/>
              <w:right w:w="108" w:type="dxa"/>
              <w:bottom w:w="0" w:type="dxa"/>
            </w:tcMar>
            <w:tcW w:w="6914" w:type="dxa"/>
            <w:vAlign w:val="center"/>
            <w:textDirection w:val="lrTb"/>
            <w:noWrap w:val="false"/>
          </w:tcPr>
          <w:p>
            <w:pPr>
              <w:spacing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评委根据投标人提供培训方案（包括但不限于培训内容、培训方式、培训时间）进行综合评分：</w:t>
            </w:r>
            <w:r/>
          </w:p>
          <w:p>
            <w:pPr>
              <w:spacing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培训计划内容编写科学合理、完整、切实可行、针对性强的得</w:t>
            </w:r>
            <w:r>
              <w:rPr>
                <w:rFonts w:hint="eastAsia" w:ascii="宋体" w:hAnsi="宋体" w:eastAsia="宋体" w:cs="宋体"/>
                <w:color w:val="000000"/>
                <w:szCs w:val="21"/>
                <w:highlight w:val="none"/>
                <w:lang w:val="en-US" w:eastAsia="zh-CN"/>
              </w:rPr>
              <w:t xml:space="preserve">9</w:t>
            </w:r>
            <w:r>
              <w:rPr>
                <w:rFonts w:hint="eastAsia" w:ascii="宋体" w:hAnsi="宋体" w:eastAsia="宋体" w:cs="宋体"/>
                <w:color w:val="000000"/>
                <w:szCs w:val="21"/>
                <w:highlight w:val="none"/>
              </w:rPr>
              <w:t xml:space="preserve">分；</w:t>
            </w:r>
            <w:r/>
          </w:p>
          <w:p>
            <w:pPr>
              <w:spacing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培训计划内容编写内容</w:t>
            </w:r>
            <w:r>
              <w:rPr>
                <w:rFonts w:hint="eastAsia" w:ascii="宋体" w:hAnsi="宋体" w:eastAsia="宋体" w:cs="宋体"/>
                <w:color w:val="000000"/>
                <w:szCs w:val="21"/>
                <w:highlight w:val="none"/>
                <w:lang w:val="en-US" w:eastAsia="zh-CN"/>
              </w:rPr>
              <w:t xml:space="preserve">较为</w:t>
            </w:r>
            <w:r>
              <w:rPr>
                <w:rFonts w:hint="eastAsia" w:ascii="宋体" w:hAnsi="宋体" w:eastAsia="宋体" w:cs="宋体"/>
                <w:color w:val="000000"/>
                <w:szCs w:val="21"/>
                <w:highlight w:val="none"/>
              </w:rPr>
              <w:t xml:space="preserve">完整合理性，具</w:t>
            </w:r>
            <w:r>
              <w:rPr>
                <w:rFonts w:hint="eastAsia" w:ascii="宋体" w:hAnsi="宋体" w:eastAsia="宋体" w:cs="宋体"/>
                <w:color w:val="000000"/>
                <w:szCs w:val="21"/>
                <w:highlight w:val="none"/>
                <w:lang w:val="en-US" w:eastAsia="zh-CN"/>
              </w:rPr>
              <w:t xml:space="preserve">有</w:t>
            </w:r>
            <w:r>
              <w:rPr>
                <w:rFonts w:hint="eastAsia" w:ascii="宋体" w:hAnsi="宋体" w:eastAsia="宋体" w:cs="宋体"/>
                <w:color w:val="000000"/>
                <w:szCs w:val="21"/>
                <w:highlight w:val="none"/>
              </w:rPr>
              <w:t xml:space="preserve">一定可行性</w:t>
            </w:r>
            <w:r>
              <w:rPr>
                <w:rFonts w:hint="eastAsia" w:ascii="宋体" w:hAnsi="宋体" w:eastAsia="宋体" w:cs="宋体"/>
                <w:color w:val="000000"/>
                <w:szCs w:val="21"/>
                <w:highlight w:val="none"/>
                <w:lang w:val="en-US" w:eastAsia="zh-CN"/>
              </w:rPr>
              <w:t xml:space="preserve">和</w:t>
            </w:r>
            <w:r>
              <w:rPr>
                <w:rFonts w:hint="eastAsia" w:ascii="宋体" w:hAnsi="宋体" w:eastAsia="宋体" w:cs="宋体"/>
                <w:color w:val="000000"/>
                <w:szCs w:val="21"/>
                <w:highlight w:val="none"/>
              </w:rPr>
              <w:t xml:space="preserve">针对性得</w:t>
            </w: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分；</w:t>
            </w:r>
            <w:r/>
          </w:p>
          <w:p>
            <w:pPr>
              <w:spacing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培训计划内容编写内容基本完整合理性，具</w:t>
            </w:r>
            <w:r>
              <w:rPr>
                <w:rFonts w:hint="eastAsia" w:ascii="宋体" w:hAnsi="宋体" w:eastAsia="宋体" w:cs="宋体"/>
                <w:color w:val="000000"/>
                <w:szCs w:val="21"/>
                <w:highlight w:val="none"/>
                <w:lang w:val="en-US" w:eastAsia="zh-CN"/>
              </w:rPr>
              <w:t xml:space="preserve">有</w:t>
            </w:r>
            <w:r>
              <w:rPr>
                <w:rFonts w:hint="eastAsia" w:ascii="宋体" w:hAnsi="宋体" w:eastAsia="宋体" w:cs="宋体"/>
                <w:color w:val="000000"/>
                <w:szCs w:val="21"/>
                <w:highlight w:val="none"/>
              </w:rPr>
              <w:t xml:space="preserve">一定可行性但无针对性得</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分；</w:t>
            </w:r>
            <w:r/>
          </w:p>
          <w:p>
            <w:pPr>
              <w:spacing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培训计划内容编写不完整且不科学合理得</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分。未提供的不得分。</w:t>
            </w:r>
            <w:r/>
          </w:p>
        </w:tc>
        <w:tc>
          <w:tcPr>
            <w:tcMar>
              <w:left w:w="108" w:type="dxa"/>
              <w:top w:w="0" w:type="dxa"/>
              <w:right w:w="108" w:type="dxa"/>
              <w:bottom w:w="0" w:type="dxa"/>
            </w:tcMar>
            <w:tcW w:w="697" w:type="dxa"/>
            <w:vAlign w:val="center"/>
            <w:textDirection w:val="lrTb"/>
            <w:noWrap w:val="false"/>
          </w:tcPr>
          <w:p>
            <w:pPr>
              <w:jc w:val="center"/>
              <w:spacing w:line="85" w:lineRule="atLeast"/>
              <w:rPr>
                <w:rFonts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lang w:val="en-US" w:eastAsia="zh-CN"/>
              </w:rPr>
              <w:t xml:space="preserve">9</w:t>
            </w:r>
            <w:r/>
          </w:p>
        </w:tc>
      </w:tr>
      <w:tr>
        <w:trPr>
          <w:trHeight w:val="556"/>
        </w:trPr>
        <w:tc>
          <w:tcPr>
            <w:tcMar>
              <w:left w:w="108" w:type="dxa"/>
              <w:top w:w="0" w:type="dxa"/>
              <w:right w:w="108" w:type="dxa"/>
              <w:bottom w:w="0" w:type="dxa"/>
            </w:tcMar>
            <w:tcW w:w="603" w:type="dxa"/>
            <w:vAlign w:val="center"/>
            <w:vMerge w:val="continue"/>
            <w:textDirection w:val="lrTb"/>
            <w:noWrap w:val="false"/>
          </w:tcPr>
          <w:p>
            <w:pPr>
              <w:jc w:val="center"/>
              <w:spacing w:line="85" w:lineRule="atLeast"/>
              <w:rPr>
                <w:rFonts w:hint="eastAsia"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r>
            <w:r/>
          </w:p>
        </w:tc>
        <w:tc>
          <w:tcPr>
            <w:tcMar>
              <w:left w:w="108" w:type="dxa"/>
              <w:top w:w="0" w:type="dxa"/>
              <w:right w:w="108" w:type="dxa"/>
              <w:bottom w:w="0" w:type="dxa"/>
            </w:tcMar>
            <w:tcW w:w="1140" w:type="dxa"/>
            <w:vAlign w:val="center"/>
            <w:vMerge w:val="continue"/>
            <w:textDirection w:val="lrTb"/>
            <w:noWrap w:val="false"/>
          </w:tcPr>
          <w:p>
            <w:pPr>
              <w:jc w:val="center"/>
              <w:spacing w:line="85" w:lineRule="atLeast"/>
              <w:rPr>
                <w:rFonts w:hint="eastAsia"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r>
            <w:r/>
          </w:p>
        </w:tc>
        <w:tc>
          <w:tcPr>
            <w:tcMar>
              <w:left w:w="108" w:type="dxa"/>
              <w:top w:w="0" w:type="dxa"/>
              <w:right w:w="108" w:type="dxa"/>
              <w:bottom w:w="0" w:type="dxa"/>
            </w:tcMar>
            <w:tcW w:w="6914" w:type="dxa"/>
            <w:vAlign w:val="center"/>
            <w:textDirection w:val="lrTb"/>
            <w:noWrap w:val="false"/>
          </w:tcPr>
          <w:p>
            <w:pPr>
              <w:spacing w:line="85" w:lineRule="atLeast"/>
              <w:rPr>
                <w:rFonts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评委根据投标人提供的售后服务方案（包括但不限于</w:t>
            </w:r>
            <w:r>
              <w:rPr>
                <w:rFonts w:hint="eastAsia" w:ascii="宋体" w:hAnsi="宋体" w:eastAsia="宋体" w:cs="宋体"/>
                <w:color w:val="000000"/>
                <w:szCs w:val="21"/>
                <w:highlight w:val="none"/>
                <w:lang w:eastAsia="zh-CN"/>
              </w:rPr>
              <w:t xml:space="preserve">售后服务方案</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eastAsia="zh-CN"/>
              </w:rPr>
              <w:t xml:space="preserve">响应时间</w:t>
            </w:r>
            <w:r>
              <w:rPr>
                <w:rFonts w:hint="eastAsia" w:ascii="宋体" w:hAnsi="宋体" w:eastAsia="宋体" w:cs="宋体"/>
                <w:color w:val="000000"/>
                <w:szCs w:val="21"/>
                <w:highlight w:val="none"/>
              </w:rPr>
              <w:t xml:space="preserve">、故障解决方案、</w:t>
            </w:r>
            <w:r>
              <w:rPr>
                <w:rFonts w:hint="eastAsia" w:ascii="宋体" w:hAnsi="宋体" w:eastAsia="宋体" w:cs="宋体"/>
                <w:color w:val="000000"/>
                <w:szCs w:val="21"/>
                <w:highlight w:val="none"/>
                <w:lang w:eastAsia="zh-CN"/>
              </w:rPr>
              <w:t xml:space="preserve">售后服务人员资质</w:t>
            </w:r>
            <w:r>
              <w:rPr>
                <w:rFonts w:hint="eastAsia" w:ascii="宋体" w:hAnsi="宋体" w:eastAsia="宋体" w:cs="宋体"/>
                <w:color w:val="000000"/>
                <w:szCs w:val="21"/>
                <w:highlight w:val="none"/>
              </w:rPr>
              <w:t xml:space="preserve">及质保期外具体服务措施）进行评分：</w:t>
            </w:r>
            <w:r/>
          </w:p>
          <w:p>
            <w:pPr>
              <w:spacing w:line="85" w:lineRule="atLeast"/>
              <w:rPr>
                <w:rFonts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方案详细完整、人员配备科学合理、措施可行性强得</w:t>
            </w:r>
            <w:r>
              <w:rPr>
                <w:rFonts w:hint="eastAsia" w:ascii="宋体" w:hAnsi="宋体" w:eastAsia="宋体" w:cs="宋体"/>
                <w:color w:val="000000"/>
                <w:szCs w:val="21"/>
                <w:highlight w:val="none"/>
                <w:lang w:val="en-US" w:eastAsia="zh-CN"/>
              </w:rPr>
              <w:t xml:space="preserve">9</w:t>
            </w:r>
            <w:r>
              <w:rPr>
                <w:rFonts w:hint="eastAsia" w:ascii="宋体" w:hAnsi="宋体" w:eastAsia="宋体" w:cs="宋体"/>
                <w:color w:val="000000"/>
                <w:szCs w:val="21"/>
                <w:highlight w:val="none"/>
              </w:rPr>
              <w:t xml:space="preserve">分；</w:t>
            </w:r>
            <w:r/>
          </w:p>
          <w:p>
            <w:pPr>
              <w:spacing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方案完整、人员配备较合理、措施可行性较强得</w:t>
            </w: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分；</w:t>
            </w:r>
            <w:r/>
          </w:p>
          <w:p>
            <w:pPr>
              <w:spacing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方案基本完整、人员配备基本合理、措施可行性一般得</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分</w:t>
            </w:r>
            <w:r/>
          </w:p>
          <w:p>
            <w:pPr>
              <w:spacing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方案</w:t>
            </w:r>
            <w:r>
              <w:rPr>
                <w:rFonts w:hint="eastAsia" w:ascii="宋体" w:hAnsi="宋体" w:eastAsia="宋体" w:cs="宋体"/>
                <w:color w:val="000000"/>
                <w:szCs w:val="21"/>
                <w:highlight w:val="none"/>
                <w:lang w:val="en-US" w:eastAsia="zh-CN"/>
              </w:rPr>
              <w:t xml:space="preserve">不</w:t>
            </w:r>
            <w:r>
              <w:rPr>
                <w:rFonts w:hint="eastAsia" w:ascii="宋体" w:hAnsi="宋体" w:eastAsia="宋体" w:cs="宋体"/>
                <w:color w:val="000000"/>
                <w:szCs w:val="21"/>
                <w:highlight w:val="none"/>
              </w:rPr>
              <w:t xml:space="preserve">完整、人员配备</w:t>
            </w:r>
            <w:r>
              <w:rPr>
                <w:rFonts w:hint="eastAsia" w:ascii="宋体" w:hAnsi="宋体" w:eastAsia="宋体" w:cs="宋体"/>
                <w:color w:val="000000"/>
                <w:szCs w:val="21"/>
                <w:highlight w:val="none"/>
                <w:lang w:val="en-US" w:eastAsia="zh-CN"/>
              </w:rPr>
              <w:t xml:space="preserve">不</w:t>
            </w:r>
            <w:r>
              <w:rPr>
                <w:rFonts w:hint="eastAsia" w:ascii="宋体" w:hAnsi="宋体" w:eastAsia="宋体" w:cs="宋体"/>
                <w:color w:val="000000"/>
                <w:szCs w:val="21"/>
                <w:highlight w:val="none"/>
              </w:rPr>
              <w:t xml:space="preserve">合理、措施可行性</w:t>
            </w:r>
            <w:r>
              <w:rPr>
                <w:rFonts w:hint="eastAsia" w:ascii="宋体" w:hAnsi="宋体" w:eastAsia="宋体" w:cs="宋体"/>
                <w:color w:val="000000"/>
                <w:szCs w:val="21"/>
                <w:highlight w:val="none"/>
                <w:lang w:val="en-US" w:eastAsia="zh-CN"/>
              </w:rPr>
              <w:t xml:space="preserve">差</w:t>
            </w:r>
            <w:r>
              <w:rPr>
                <w:rFonts w:hint="eastAsia" w:ascii="宋体" w:hAnsi="宋体" w:eastAsia="宋体" w:cs="宋体"/>
                <w:color w:val="000000"/>
                <w:szCs w:val="21"/>
                <w:highlight w:val="none"/>
              </w:rPr>
              <w:t xml:space="preserve">得</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分。未提供的不得分。</w:t>
            </w:r>
            <w:r/>
          </w:p>
        </w:tc>
        <w:tc>
          <w:tcPr>
            <w:tcMar>
              <w:left w:w="108" w:type="dxa"/>
              <w:top w:w="0" w:type="dxa"/>
              <w:right w:w="108" w:type="dxa"/>
              <w:bottom w:w="0" w:type="dxa"/>
            </w:tcMar>
            <w:tcW w:w="697" w:type="dxa"/>
            <w:vAlign w:val="center"/>
            <w:textDirection w:val="lrTb"/>
            <w:noWrap w:val="false"/>
          </w:tcPr>
          <w:p>
            <w:pPr>
              <w:jc w:val="center"/>
              <w:spacing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lang w:val="en-US" w:eastAsia="zh-CN"/>
              </w:rPr>
              <w:t xml:space="preserve">9</w:t>
            </w:r>
            <w:r/>
          </w:p>
        </w:tc>
      </w:tr>
    </w:tbl>
    <w:p>
      <w:pPr>
        <w:ind w:firstLine="422"/>
        <w:spacing w:line="440" w:lineRule="exac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rPr>
        <w:t xml:space="preserve">说明：</w:t>
      </w:r>
      <w:r/>
    </w:p>
    <w:p>
      <w:pPr>
        <w:ind w:firstLine="422"/>
        <w:spacing w:line="440" w:lineRule="exact"/>
        <w:rPr>
          <w:rFonts w:hint="eastAsia" w:ascii="宋体" w:hAnsi="宋体" w:eastAsia="宋体" w:cs="宋体"/>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rPr>
        <w:t xml:space="preserve">1.小微企业的价格扣除</w:t>
      </w:r>
      <w:r/>
    </w:p>
    <w:p>
      <w:pPr>
        <w:ind w:firstLine="420"/>
        <w:spacing w:line="440" w:lineRule="exac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lang w:eastAsia="zh-CN"/>
        </w:rPr>
        <w:t xml:space="preserve">本项目整体专门面向中小企业采购</w:t>
      </w:r>
      <w:r>
        <w:rPr>
          <w:rFonts w:hint="eastAsia" w:ascii="宋体" w:hAnsi="宋体" w:eastAsia="宋体" w:cs="宋体"/>
          <w:color w:val="000000"/>
          <w:highlight w:val="none"/>
        </w:rPr>
        <w:t xml:space="preserve">。 </w:t>
      </w:r>
      <w:r/>
    </w:p>
    <w:p>
      <w:pPr>
        <w:ind w:firstLine="422"/>
        <w:spacing w:line="440" w:lineRule="exac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rPr>
        <w:t xml:space="preserve">2.监狱和戒毒企业的价格扣除</w:t>
      </w:r>
      <w:r/>
    </w:p>
    <w:p>
      <w:pPr>
        <w:ind w:firstLine="420"/>
        <w:spacing w:line="440" w:lineRule="exac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（1）本项目对监狱和戒毒企业（简称监狱企业），给予报价10%的价格扣除，用扣除后的价格参与评审。</w:t>
      </w:r>
      <w:r/>
    </w:p>
    <w:p>
      <w:pPr>
        <w:ind w:firstLine="420"/>
        <w:spacing w:line="440" w:lineRule="exac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（2）监狱企业需提供由省级以上监狱管理局、戒毒管理局（含新疆生产建设兵团）出具的属于监狱企业的证明文件。</w:t>
      </w:r>
      <w:r/>
    </w:p>
    <w:p>
      <w:pPr>
        <w:ind w:firstLine="420"/>
        <w:spacing w:line="440" w:lineRule="exac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（3）监狱企业标准请参照《关于政府采购支持监狱企业发展有关问题的通知》（财库〔2014〕68号）。</w:t>
      </w:r>
      <w:r/>
    </w:p>
    <w:p>
      <w:pPr>
        <w:ind w:firstLine="422"/>
        <w:spacing w:line="440" w:lineRule="exac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rPr>
        <w:t xml:space="preserve">3.残疾人福利性单位的价格扣除</w:t>
      </w:r>
      <w:r/>
    </w:p>
    <w:p>
      <w:pPr>
        <w:ind w:firstLine="420"/>
        <w:spacing w:line="440" w:lineRule="exac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（1）本项目对残疾人福利性单位，给予报价10%的价格扣除，用扣除后的价格参与评审。</w:t>
      </w:r>
      <w:r/>
    </w:p>
    <w:p>
      <w:pPr>
        <w:ind w:firstLine="420"/>
        <w:spacing w:line="440" w:lineRule="exac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（2）残疾人福利单位需按照招标文件的要求提供《残疾人福利性单位声明函》。</w:t>
      </w:r>
      <w:r/>
    </w:p>
    <w:p>
      <w:pPr>
        <w:ind w:firstLine="420"/>
        <w:spacing w:line="440" w:lineRule="exac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（3）残疾人福利单位标准请参照《关于促进残疾人就业政府采购政策的通知》（财库〔2017〕141号）。</w:t>
      </w:r>
      <w:r/>
    </w:p>
    <w:p>
      <w:pPr>
        <w:ind w:firstLine="422"/>
        <w:spacing w:line="440" w:lineRule="exac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rPr>
        <w:t xml:space="preserve">4.监狱企业、残疾人福利性单位属于小微企业的，不重复享受政策。</w:t>
      </w:r>
      <w:r/>
    </w:p>
    <w:p>
      <w:pPr>
        <w:ind w:firstLine="422"/>
        <w:jc w:val="both"/>
        <w:spacing w:line="440" w:lineRule="exac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rPr>
        <w:t xml:space="preserve">5.所有认证、证明和业绩除上表要求外均须提供有效的证明材料复印件加盖投标人公章。</w:t>
      </w:r>
      <w:r/>
    </w:p>
    <w:p>
      <w:pPr>
        <w:ind w:firstLine="422"/>
        <w:jc w:val="both"/>
        <w:spacing w:line="440" w:lineRule="exac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rPr>
        <w:t xml:space="preserve">6.本项目采购标的对应的中小企业划分标准所属行业为：工业。</w:t>
      </w:r>
      <w:r/>
    </w:p>
    <w:p>
      <w:pPr>
        <w:jc w:val="both"/>
        <w:spacing w:before="120" w:after="12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jc w:val="center"/>
        <w:spacing w:before="120" w:after="12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32"/>
          <w:highlight w:val="none"/>
        </w:rPr>
        <w:br w:type="page" w:clear="all"/>
      </w:r>
      <w:bookmarkStart w:id="4" w:name="_Toc26370"/>
      <w:r>
        <w:rPr>
          <w:rFonts w:hint="eastAsia" w:ascii="宋体" w:hAnsi="宋体" w:eastAsia="宋体" w:cs="宋体"/>
          <w:b/>
          <w:color w:val="000000"/>
          <w:sz w:val="32"/>
          <w:highlight w:val="none"/>
        </w:rPr>
        <w:t xml:space="preserve">第四章</w:t>
      </w:r>
      <w:r>
        <w:rPr>
          <w:rFonts w:hint="eastAsia" w:ascii="宋体" w:hAnsi="宋体" w:eastAsia="宋体" w:cs="宋体"/>
          <w:b/>
          <w:color w:val="000000"/>
          <w:sz w:val="32"/>
          <w:highlight w:val="none"/>
          <w:lang w:val="en-US" w:eastAsia="zh-CN"/>
        </w:rPr>
        <w:t xml:space="preserve"> </w:t>
      </w:r>
      <w:r>
        <w:rPr>
          <w:rFonts w:hint="eastAsia" w:ascii="宋体" w:hAnsi="宋体" w:eastAsia="宋体" w:cs="宋体"/>
          <w:b/>
          <w:color w:val="000000"/>
          <w:sz w:val="32"/>
          <w:highlight w:val="none"/>
        </w:rPr>
        <w:t xml:space="preserve">采购</w:t>
      </w:r>
      <w:r>
        <w:rPr>
          <w:rFonts w:hint="eastAsia" w:ascii="宋体" w:hAnsi="宋体" w:eastAsia="宋体" w:cs="宋体"/>
          <w:b/>
          <w:color w:val="000000"/>
          <w:sz w:val="32"/>
          <w:highlight w:val="none"/>
        </w:rPr>
        <w:t xml:space="preserve">需求</w:t>
      </w:r>
      <w:r>
        <w:rPr>
          <w:rFonts w:hint="eastAsia" w:ascii="宋体" w:hAnsi="宋体" w:eastAsia="宋体" w:cs="宋体"/>
          <w:b/>
          <w:color w:val="000000"/>
          <w:sz w:val="32"/>
          <w:highlight w:val="none"/>
        </w:rPr>
      </w:r>
      <w:bookmarkEnd w:id="4"/>
      <w:r/>
      <w:r/>
    </w:p>
    <w:p>
      <w:pPr>
        <w:ind w:firstLine="422"/>
        <w:keepLines w:val="0"/>
        <w:keepNext w:val="0"/>
        <w:pageBreakBefore w:val="0"/>
        <w:spacing w:line="480" w:lineRule="exact"/>
        <w:widowControl/>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pBdr>
      </w:pPr>
      <w:r/>
      <w:bookmarkStart w:id="5" w:name="_Toc36830581"/>
      <w:r/>
      <w:bookmarkStart w:id="6" w:name="_Toc98277369"/>
      <w:r>
        <w:rPr>
          <w:rFonts w:hint="eastAsia" w:ascii="宋体" w:hAnsi="宋体" w:eastAsia="宋体" w:cs="宋体"/>
          <w:b/>
          <w:bCs/>
          <w:color w:val="000000"/>
          <w:highlight w:val="none"/>
          <w:lang w:val="en-US" w:eastAsia="zh-CN"/>
        </w:rPr>
        <w:t xml:space="preserve">一</w:t>
      </w:r>
      <w:r>
        <w:rPr>
          <w:rFonts w:hint="eastAsia" w:ascii="宋体" w:hAnsi="宋体" w:eastAsia="宋体" w:cs="宋体"/>
          <w:b/>
          <w:bCs/>
          <w:color w:val="000000"/>
          <w:highlight w:val="none"/>
        </w:rPr>
        <w:t xml:space="preserve">、</w:t>
      </w:r>
      <w:bookmarkEnd w:id="5"/>
      <w:r>
        <w:rPr>
          <w:rFonts w:hint="eastAsia" w:ascii="宋体" w:hAnsi="宋体" w:eastAsia="宋体" w:cs="宋体"/>
          <w:b/>
          <w:bCs/>
          <w:color w:val="000000"/>
          <w:highlight w:val="none"/>
        </w:rPr>
        <w:t xml:space="preserve">项目概况</w:t>
      </w:r>
      <w:bookmarkEnd w:id="6"/>
      <w:r/>
      <w:r/>
    </w:p>
    <w:p>
      <w:pPr>
        <w:ind w:firstLine="420"/>
        <w:keepLines w:val="0"/>
        <w:keepNext w:val="0"/>
        <w:pageBreakBefore w:val="0"/>
        <w:spacing w:line="480" w:lineRule="exact"/>
        <w:widowControl/>
        <w:rPr>
          <w:rFonts w:hint="default" w:ascii="宋体" w:hAnsi="宋体" w:eastAsia="宋体" w:cs="宋体"/>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1.项目编号：JSZC-320117-NJ</w:t>
      </w:r>
      <w:r>
        <w:rPr>
          <w:rFonts w:hint="eastAsia" w:ascii="宋体" w:hAnsi="宋体" w:eastAsia="宋体" w:cs="宋体"/>
          <w:color w:val="000000"/>
          <w:highlight w:val="none"/>
          <w:lang w:val="en-US" w:eastAsia="zh-CN"/>
        </w:rPr>
        <w:t xml:space="preserve">Z</w:t>
      </w:r>
      <w:r>
        <w:rPr>
          <w:rFonts w:hint="eastAsia" w:ascii="宋体" w:hAnsi="宋体" w:eastAsia="宋体" w:cs="宋体"/>
          <w:color w:val="000000"/>
          <w:highlight w:val="none"/>
        </w:rPr>
        <w:t xml:space="preserve">C-G2025-00</w:t>
      </w:r>
      <w:r>
        <w:rPr>
          <w:rFonts w:hint="eastAsia" w:ascii="宋体" w:hAnsi="宋体" w:eastAsia="宋体" w:cs="宋体"/>
          <w:color w:val="000000"/>
          <w:highlight w:val="none"/>
          <w:lang w:val="en-US" w:eastAsia="zh-CN"/>
        </w:rPr>
        <w:t xml:space="preserve">09</w:t>
      </w:r>
      <w:r/>
    </w:p>
    <w:p>
      <w:pPr>
        <w:ind w:firstLine="420"/>
        <w:keepLines w:val="0"/>
        <w:keepNext w:val="0"/>
        <w:pageBreakBefore w:val="0"/>
        <w:spacing w:line="480" w:lineRule="exact"/>
        <w:widowControl/>
        <w:rPr>
          <w:rFonts w:hint="default" w:ascii="宋体" w:hAnsi="宋体" w:eastAsia="宋体" w:cs="宋体"/>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2.项目名称：</w:t>
      </w:r>
      <w:r>
        <w:rPr>
          <w:rFonts w:hint="eastAsia" w:ascii="宋体" w:hAnsi="宋体" w:eastAsia="宋体" w:cs="宋体"/>
          <w:color w:val="000000"/>
          <w:highlight w:val="none"/>
          <w:lang w:val="en-US" w:eastAsia="zh-CN"/>
        </w:rPr>
        <w:t xml:space="preserve">团山消防站救援装备器材采购</w:t>
      </w:r>
      <w:r/>
    </w:p>
    <w:p>
      <w:pPr>
        <w:ind w:firstLine="420"/>
        <w:keepLines w:val="0"/>
        <w:keepNext w:val="0"/>
        <w:pageBreakBefore w:val="0"/>
        <w:spacing w:line="480" w:lineRule="exact"/>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3.项目</w:t>
      </w:r>
      <w:r>
        <w:rPr>
          <w:rFonts w:hint="eastAsia" w:ascii="宋体" w:hAnsi="宋体" w:eastAsia="宋体" w:cs="宋体"/>
          <w:color w:val="000000"/>
          <w:highlight w:val="none"/>
          <w:lang w:val="en-US" w:eastAsia="zh-CN"/>
        </w:rPr>
        <w:t xml:space="preserve">需求</w:t>
      </w:r>
      <w:r>
        <w:rPr>
          <w:rFonts w:hint="eastAsia" w:ascii="宋体" w:hAnsi="宋体" w:eastAsia="宋体" w:cs="宋体"/>
          <w:color w:val="000000"/>
          <w:highlight w:val="none"/>
        </w:rPr>
        <w:t xml:space="preserve">：</w:t>
      </w:r>
      <w:r>
        <w:rPr>
          <w:rFonts w:hint="eastAsia" w:ascii="宋体" w:hAnsi="宋体" w:eastAsia="宋体" w:cs="宋体"/>
          <w:color w:val="000000"/>
          <w:szCs w:val="21"/>
          <w:highlight w:val="none"/>
          <w:lang w:val="en-US" w:eastAsia="zh-CN"/>
        </w:rPr>
        <w:t xml:space="preserve">本项目为满足消防站救援时装备器材的需求，采购救援装备器材等物资。</w:t>
      </w:r>
      <w:r/>
    </w:p>
    <w:p>
      <w:pPr>
        <w:ind w:firstLine="420"/>
        <w:keepLines w:val="0"/>
        <w:keepNext w:val="0"/>
        <w:pageBreakBefore w:val="0"/>
        <w:spacing w:line="480" w:lineRule="exact"/>
        <w:widowControl/>
        <w:rPr>
          <w:rFonts w:hint="default" w:ascii="宋体" w:hAnsi="宋体" w:eastAsia="宋体" w:cs="宋体"/>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4.</w:t>
      </w:r>
      <w:r>
        <w:rPr>
          <w:rFonts w:hint="eastAsia" w:ascii="宋体" w:hAnsi="宋体" w:eastAsia="宋体" w:cs="宋体"/>
          <w:color w:val="000000"/>
          <w:highlight w:val="none"/>
          <w:lang w:val="en-US" w:eastAsia="zh-CN"/>
        </w:rPr>
        <w:t xml:space="preserve">项目地点：南京市溧水区</w:t>
      </w:r>
      <w:r/>
    </w:p>
    <w:p>
      <w:pPr>
        <w:ind w:firstLine="420"/>
        <w:keepLines w:val="0"/>
        <w:keepNext w:val="0"/>
        <w:pageBreakBefore w:val="0"/>
        <w:spacing w:line="480" w:lineRule="exact"/>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rPr>
        <w:t xml:space="preserve">交货期：合同签订后</w:t>
      </w:r>
      <w:r>
        <w:rPr>
          <w:rFonts w:hint="eastAsia" w:ascii="宋体" w:hAnsi="宋体" w:eastAsia="宋体" w:cs="宋体"/>
          <w:color w:val="000000"/>
          <w:highlight w:val="none"/>
          <w:lang w:val="en-US" w:eastAsia="zh-CN"/>
        </w:rPr>
        <w:t xml:space="preserve">30</w:t>
      </w:r>
      <w:r>
        <w:rPr>
          <w:rFonts w:hint="eastAsia" w:ascii="宋体" w:hAnsi="宋体" w:eastAsia="宋体" w:cs="宋体"/>
          <w:color w:val="000000"/>
          <w:highlight w:val="none"/>
        </w:rPr>
        <w:t xml:space="preserve">个</w:t>
      </w:r>
      <w:r>
        <w:rPr>
          <w:rFonts w:hint="eastAsia" w:ascii="宋体" w:hAnsi="宋体" w:eastAsia="宋体" w:cs="宋体"/>
          <w:color w:val="000000"/>
          <w:highlight w:val="none"/>
          <w:lang w:eastAsia="zh-CN"/>
        </w:rPr>
        <w:t xml:space="preserve">日历天</w:t>
      </w:r>
      <w:r>
        <w:rPr>
          <w:rFonts w:hint="eastAsia" w:ascii="宋体" w:hAnsi="宋体" w:eastAsia="宋体" w:cs="宋体"/>
          <w:color w:val="000000"/>
          <w:highlight w:val="none"/>
        </w:rPr>
        <w:t xml:space="preserve">内完成交付</w:t>
      </w:r>
      <w:r/>
    </w:p>
    <w:p>
      <w:pPr>
        <w:ind w:firstLine="422"/>
        <w:keepLines w:val="0"/>
        <w:keepNext w:val="0"/>
        <w:pageBreakBefore w:val="0"/>
        <w:spacing w:line="480" w:lineRule="exact"/>
        <w:widowControl/>
        <w:rPr>
          <w:rFonts w:hint="eastAsia"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t xml:space="preserve">二、采购清单及参数   </w:t>
      </w:r>
      <w:r/>
    </w:p>
    <w:p>
      <w:pPr>
        <w:ind w:firstLine="440"/>
        <w:jc w:val="left"/>
        <w:keepLines w:val="0"/>
        <w:keepNext w:val="0"/>
        <w:pageBreakBefore w:val="0"/>
        <w:spacing w:line="480" w:lineRule="exact"/>
        <w:widowControl/>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1.采购清单</w:t>
      </w:r>
      <w:r/>
    </w:p>
    <w:tbl>
      <w:tblPr>
        <w:tblStyle w:val="706"/>
        <w:tblW w:w="0" w:type="auto"/>
        <w:tblInd w:w="60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0"/>
        <w:gridCol w:w="3668"/>
        <w:gridCol w:w="1993"/>
        <w:gridCol w:w="1884"/>
      </w:tblGrid>
      <w:tr>
        <w:trPr>
          <w:trHeight w:val="442" w:hRule="exact"/>
        </w:trPr>
        <w:tc>
          <w:tcPr>
            <w:tcW w:w="780" w:type="dxa"/>
            <w:textDirection w:val="lrTb"/>
            <w:noWrap w:val="false"/>
          </w:tcPr>
          <w:p>
            <w:pPr>
              <w:jc w:val="center"/>
              <w:spacing w:after="0" w:line="240" w:lineRule="auto"/>
              <w:rPr>
                <w:rFonts w:hint="eastAsia" w:ascii="宋体" w:hAnsi="宋体" w:eastAsia="宋体" w:cs="宋体"/>
                <w:b/>
                <w:color w:val="000000"/>
                <w:highlight w:val="none"/>
                <w:vertAlign w:val="baseline"/>
                <w:lang w:val="en-US" w:eastAsia="zh-CN"/>
              </w:rPr>
            </w:pPr>
            <w:r>
              <w:rPr>
                <w:rFonts w:hint="eastAsia" w:ascii="宋体" w:hAnsi="宋体" w:eastAsia="宋体" w:cs="宋体"/>
                <w:b/>
                <w:color w:val="000000"/>
                <w:highlight w:val="none"/>
                <w:vertAlign w:val="baseline"/>
                <w:lang w:val="en-US" w:eastAsia="zh-CN"/>
              </w:rPr>
              <w:t xml:space="preserve">序号</w:t>
            </w:r>
            <w:r/>
          </w:p>
        </w:tc>
        <w:tc>
          <w:tcPr>
            <w:tcW w:w="3668" w:type="dxa"/>
            <w:textDirection w:val="lrTb"/>
            <w:noWrap w:val="false"/>
          </w:tcPr>
          <w:p>
            <w:pPr>
              <w:jc w:val="center"/>
              <w:spacing w:after="0" w:line="240" w:lineRule="auto"/>
              <w:rPr>
                <w:rFonts w:hint="default" w:ascii="宋体" w:hAnsi="宋体" w:eastAsia="宋体" w:cs="宋体"/>
                <w:b/>
                <w:color w:val="000000"/>
                <w:highlight w:val="none"/>
                <w:vertAlign w:val="baseline"/>
                <w:lang w:val="en-US" w:eastAsia="zh-CN"/>
              </w:rPr>
            </w:pPr>
            <w:r>
              <w:rPr>
                <w:rFonts w:hint="eastAsia" w:ascii="宋体" w:hAnsi="宋体" w:eastAsia="宋体" w:cs="宋体"/>
                <w:b/>
                <w:color w:val="000000"/>
                <w:highlight w:val="none"/>
                <w:vertAlign w:val="baseline"/>
                <w:lang w:val="en-US" w:eastAsia="zh-CN"/>
              </w:rPr>
              <w:t xml:space="preserve">装备名称</w:t>
            </w:r>
            <w:r/>
          </w:p>
        </w:tc>
        <w:tc>
          <w:tcPr>
            <w:tcW w:w="1993" w:type="dxa"/>
            <w:textDirection w:val="lrTb"/>
            <w:noWrap w:val="false"/>
          </w:tcPr>
          <w:p>
            <w:pPr>
              <w:jc w:val="center"/>
              <w:spacing w:after="0" w:line="240" w:lineRule="auto"/>
              <w:rPr>
                <w:rFonts w:hint="default" w:ascii="宋体" w:hAnsi="宋体" w:eastAsia="宋体" w:cs="宋体"/>
                <w:b/>
                <w:color w:val="000000"/>
                <w:highlight w:val="none"/>
                <w:vertAlign w:val="baseline"/>
                <w:lang w:val="en-US" w:eastAsia="zh-CN"/>
              </w:rPr>
            </w:pPr>
            <w:r>
              <w:rPr>
                <w:rFonts w:hint="eastAsia" w:ascii="宋体" w:hAnsi="宋体" w:eastAsia="宋体" w:cs="宋体"/>
                <w:b/>
                <w:color w:val="000000"/>
                <w:highlight w:val="none"/>
                <w:vertAlign w:val="baseline"/>
                <w:lang w:val="en-US" w:eastAsia="zh-CN"/>
              </w:rPr>
              <w:t xml:space="preserve">单位</w:t>
            </w:r>
            <w:r/>
          </w:p>
        </w:tc>
        <w:tc>
          <w:tcPr>
            <w:tcW w:w="1884" w:type="dxa"/>
            <w:textDirection w:val="lrTb"/>
            <w:noWrap w:val="false"/>
          </w:tcPr>
          <w:p>
            <w:pPr>
              <w:jc w:val="center"/>
              <w:spacing w:after="0" w:line="240" w:lineRule="auto"/>
              <w:rPr>
                <w:rFonts w:hint="eastAsia" w:ascii="宋体" w:hAnsi="宋体" w:eastAsia="宋体" w:cs="宋体"/>
                <w:b/>
                <w:color w:val="000000"/>
                <w:highlight w:val="none"/>
                <w:vertAlign w:val="baseline"/>
              </w:rPr>
            </w:pPr>
            <w:r>
              <w:rPr>
                <w:rFonts w:hint="eastAsia" w:ascii="宋体" w:hAnsi="宋体" w:eastAsia="宋体" w:cs="宋体"/>
                <w:b/>
                <w:color w:val="000000"/>
                <w:highlight w:val="none"/>
                <w:vertAlign w:val="baseline"/>
                <w:lang w:val="en-US" w:eastAsia="zh-CN"/>
              </w:rPr>
              <w:t xml:space="preserve">数量</w:t>
            </w:r>
            <w:r/>
          </w:p>
        </w:tc>
      </w:tr>
      <w:tr>
        <w:trPr>
          <w:trHeight w:val="442" w:hRule="exact"/>
        </w:trPr>
        <w:tc>
          <w:tcPr>
            <w:tcW w:w="780"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1</w:t>
            </w:r>
            <w:r/>
          </w:p>
        </w:tc>
        <w:tc>
          <w:tcPr>
            <w:tcW w:w="3668"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消防员抢险救援头盔</w:t>
            </w:r>
            <w:r/>
          </w:p>
        </w:tc>
        <w:tc>
          <w:tcPr>
            <w:tcW w:w="1993" w:type="dxa"/>
            <w:vAlign w:val="center"/>
            <w:textDirection w:val="lrTb"/>
            <w:noWrap w:val="false"/>
          </w:tcPr>
          <w:p>
            <w:pPr>
              <w:jc w:val="center"/>
              <w:spacing w:after="0" w:line="240" w:lineRule="auto"/>
              <w:rPr>
                <w:rFonts w:hint="default"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顶</w:t>
            </w:r>
            <w:r/>
          </w:p>
        </w:tc>
        <w:tc>
          <w:tcPr>
            <w:shd w:val="clear" w:color="auto" w:fill="auto"/>
            <w:tcW w:w="1884" w:type="dxa"/>
            <w:vAlign w:val="center"/>
            <w:textDirection w:val="lrTb"/>
            <w:noWrap w:val="false"/>
          </w:tcPr>
          <w:p>
            <w:pPr>
              <w:jc w:val="center"/>
              <w:keepLines w:val="0"/>
              <w:keepNext w:val="0"/>
              <w:spacing w:after="0" w:line="240" w:lineRule="auto"/>
              <w:widowControl/>
              <w:rPr>
                <w:rFonts w:hint="default" w:ascii="宋体" w:hAnsi="宋体" w:eastAsia="宋体" w:cs="宋体"/>
                <w:b w:val="0"/>
                <w:bCs/>
                <w:color w:val="000000"/>
                <w:sz w:val="21"/>
                <w:szCs w:val="22"/>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20</w:t>
            </w:r>
            <w:r/>
          </w:p>
        </w:tc>
      </w:tr>
      <w:tr>
        <w:trPr>
          <w:trHeight w:val="442" w:hRule="exact"/>
        </w:trPr>
        <w:tc>
          <w:tcPr>
            <w:tcW w:w="780"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2</w:t>
            </w:r>
            <w:r/>
          </w:p>
        </w:tc>
        <w:tc>
          <w:tcPr>
            <w:tcW w:w="3668"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消防员抢险腰带</w:t>
            </w:r>
            <w:r/>
          </w:p>
        </w:tc>
        <w:tc>
          <w:tcPr>
            <w:tcW w:w="1993"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根</w:t>
            </w:r>
            <w:r/>
          </w:p>
        </w:tc>
        <w:tc>
          <w:tcPr>
            <w:shd w:val="clear" w:color="auto" w:fill="auto"/>
            <w:tcW w:w="1884" w:type="dxa"/>
            <w:vAlign w:val="center"/>
            <w:textDirection w:val="lrTb"/>
            <w:noWrap w:val="false"/>
          </w:tcPr>
          <w:p>
            <w:pPr>
              <w:jc w:val="center"/>
              <w:keepLines w:val="0"/>
              <w:keepNext w:val="0"/>
              <w:spacing w:after="0" w:line="240" w:lineRule="auto"/>
              <w:widowControl/>
              <w:rPr>
                <w:rFonts w:hint="default" w:ascii="宋体" w:hAnsi="宋体" w:eastAsia="宋体" w:cs="宋体"/>
                <w:b w:val="0"/>
                <w:bCs/>
                <w:color w:val="000000"/>
                <w:sz w:val="21"/>
                <w:szCs w:val="22"/>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10</w:t>
            </w:r>
            <w:r/>
          </w:p>
        </w:tc>
      </w:tr>
      <w:tr>
        <w:trPr>
          <w:trHeight w:val="442" w:hRule="exact"/>
        </w:trPr>
        <w:tc>
          <w:tcPr>
            <w:tcW w:w="780" w:type="dxa"/>
            <w:vAlign w:val="center"/>
            <w:textDirection w:val="lrTb"/>
            <w:noWrap w:val="false"/>
          </w:tcPr>
          <w:p>
            <w:pPr>
              <w:jc w:val="center"/>
              <w:spacing w:after="0" w:line="240" w:lineRule="auto"/>
              <w:rPr>
                <w:rFonts w:hint="default"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3</w:t>
            </w:r>
            <w:r/>
          </w:p>
        </w:tc>
        <w:tc>
          <w:tcPr>
            <w:tcW w:w="3668"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消防员灭火救援手套</w:t>
            </w:r>
            <w:r/>
          </w:p>
        </w:tc>
        <w:tc>
          <w:tcPr>
            <w:tcW w:w="1993" w:type="dxa"/>
            <w:vAlign w:val="center"/>
            <w:textDirection w:val="lrTb"/>
            <w:noWrap w:val="false"/>
          </w:tcPr>
          <w:p>
            <w:pPr>
              <w:jc w:val="center"/>
              <w:spacing w:after="0" w:line="240" w:lineRule="auto"/>
              <w:rPr>
                <w:rFonts w:hint="default"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副</w:t>
            </w:r>
            <w:r/>
          </w:p>
        </w:tc>
        <w:tc>
          <w:tcPr>
            <w:shd w:val="clear" w:color="auto" w:fill="auto"/>
            <w:tcW w:w="1884" w:type="dxa"/>
            <w:vAlign w:val="center"/>
            <w:textDirection w:val="lrTb"/>
            <w:noWrap w:val="false"/>
          </w:tcPr>
          <w:p>
            <w:pPr>
              <w:jc w:val="center"/>
              <w:keepLines w:val="0"/>
              <w:keepNext w:val="0"/>
              <w:spacing w:after="0" w:line="240" w:lineRule="auto"/>
              <w:widowControl/>
              <w:rPr>
                <w:rFonts w:hint="default" w:ascii="宋体" w:hAnsi="宋体" w:eastAsia="宋体" w:cs="宋体"/>
                <w:b w:val="0"/>
                <w:bCs/>
                <w:color w:val="000000"/>
                <w:sz w:val="21"/>
                <w:szCs w:val="22"/>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10</w:t>
            </w:r>
            <w:r/>
          </w:p>
        </w:tc>
      </w:tr>
      <w:tr>
        <w:trPr>
          <w:trHeight w:val="442" w:hRule="exact"/>
        </w:trPr>
        <w:tc>
          <w:tcPr>
            <w:tcW w:w="780"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4</w:t>
            </w:r>
            <w:r/>
          </w:p>
        </w:tc>
        <w:tc>
          <w:tcPr>
            <w:tcW w:w="3668"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消防员灭火救援靴</w:t>
            </w:r>
            <w:r/>
          </w:p>
        </w:tc>
        <w:tc>
          <w:tcPr>
            <w:tcW w:w="1993"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双</w:t>
            </w:r>
            <w:r/>
          </w:p>
        </w:tc>
        <w:tc>
          <w:tcPr>
            <w:shd w:val="clear" w:color="auto" w:fill="auto"/>
            <w:tcW w:w="1884" w:type="dxa"/>
            <w:vAlign w:val="center"/>
            <w:textDirection w:val="lrTb"/>
            <w:noWrap w:val="false"/>
          </w:tcPr>
          <w:p>
            <w:pPr>
              <w:jc w:val="center"/>
              <w:keepLines w:val="0"/>
              <w:keepNext w:val="0"/>
              <w:spacing w:after="0" w:line="240" w:lineRule="auto"/>
              <w:widowControl/>
              <w:rPr>
                <w:rFonts w:hint="default" w:ascii="宋体" w:hAnsi="宋体" w:eastAsia="宋体" w:cs="宋体"/>
                <w:b w:val="0"/>
                <w:bCs/>
                <w:color w:val="000000"/>
                <w:sz w:val="21"/>
                <w:szCs w:val="22"/>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10</w:t>
            </w:r>
            <w:r/>
          </w:p>
        </w:tc>
      </w:tr>
      <w:tr>
        <w:trPr>
          <w:trHeight w:val="442" w:hRule="exact"/>
        </w:trPr>
        <w:tc>
          <w:tcPr>
            <w:tcW w:w="780"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5</w:t>
            </w:r>
            <w:r/>
          </w:p>
        </w:tc>
        <w:tc>
          <w:tcPr>
            <w:tcW w:w="3668"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呼救器</w:t>
            </w:r>
            <w:r/>
          </w:p>
        </w:tc>
        <w:tc>
          <w:tcPr>
            <w:tcW w:w="1993"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个</w:t>
            </w:r>
            <w:r/>
          </w:p>
        </w:tc>
        <w:tc>
          <w:tcPr>
            <w:shd w:val="clear" w:color="auto" w:fill="auto"/>
            <w:tcW w:w="1884" w:type="dxa"/>
            <w:vAlign w:val="center"/>
            <w:textDirection w:val="lrTb"/>
            <w:noWrap w:val="false"/>
          </w:tcPr>
          <w:p>
            <w:pPr>
              <w:jc w:val="center"/>
              <w:keepLines w:val="0"/>
              <w:keepNext w:val="0"/>
              <w:spacing w:after="0" w:line="240" w:lineRule="auto"/>
              <w:widowControl/>
              <w:rPr>
                <w:rFonts w:hint="default" w:ascii="宋体" w:hAnsi="宋体" w:eastAsia="宋体" w:cs="宋体"/>
                <w:b w:val="0"/>
                <w:bCs/>
                <w:color w:val="000000"/>
                <w:sz w:val="21"/>
                <w:szCs w:val="22"/>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5</w:t>
            </w:r>
            <w:r/>
          </w:p>
        </w:tc>
      </w:tr>
      <w:tr>
        <w:trPr>
          <w:trHeight w:val="442" w:hRule="exact"/>
        </w:trPr>
        <w:tc>
          <w:tcPr>
            <w:tcW w:w="780"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6</w:t>
            </w:r>
            <w:r/>
          </w:p>
        </w:tc>
        <w:tc>
          <w:tcPr>
            <w:tcW w:w="3668"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正压式空气呼吸器</w:t>
            </w:r>
            <w:r/>
          </w:p>
        </w:tc>
        <w:tc>
          <w:tcPr>
            <w:tcW w:w="1993" w:type="dxa"/>
            <w:vAlign w:val="center"/>
            <w:textDirection w:val="lrTb"/>
            <w:noWrap w:val="false"/>
          </w:tcPr>
          <w:p>
            <w:pPr>
              <w:jc w:val="center"/>
              <w:spacing w:after="0" w:line="240" w:lineRule="auto"/>
              <w:rPr>
                <w:rFonts w:hint="default"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具</w:t>
            </w:r>
            <w:r/>
          </w:p>
        </w:tc>
        <w:tc>
          <w:tcPr>
            <w:shd w:val="clear" w:color="auto" w:fill="auto"/>
            <w:tcW w:w="1884" w:type="dxa"/>
            <w:vAlign w:val="center"/>
            <w:textDirection w:val="lrTb"/>
            <w:noWrap w:val="false"/>
          </w:tcPr>
          <w:p>
            <w:pPr>
              <w:jc w:val="center"/>
              <w:keepLines w:val="0"/>
              <w:keepNext w:val="0"/>
              <w:spacing w:after="0" w:line="240" w:lineRule="auto"/>
              <w:widowControl/>
              <w:rPr>
                <w:rFonts w:hint="default" w:ascii="宋体" w:hAnsi="宋体" w:eastAsia="宋体" w:cs="宋体"/>
                <w:b w:val="0"/>
                <w:bCs/>
                <w:color w:val="000000"/>
                <w:sz w:val="21"/>
                <w:szCs w:val="22"/>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6</w:t>
            </w:r>
            <w:r/>
          </w:p>
        </w:tc>
      </w:tr>
      <w:tr>
        <w:trPr>
          <w:trHeight w:val="442" w:hRule="exact"/>
        </w:trPr>
        <w:tc>
          <w:tcPr>
            <w:tcW w:w="780"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7</w:t>
            </w:r>
            <w:r/>
          </w:p>
        </w:tc>
        <w:tc>
          <w:tcPr>
            <w:tcW w:w="3668"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应急逃生自救安全绳</w:t>
            </w:r>
            <w:r/>
          </w:p>
        </w:tc>
        <w:tc>
          <w:tcPr>
            <w:tcW w:w="1993"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套</w:t>
            </w:r>
            <w:r/>
          </w:p>
        </w:tc>
        <w:tc>
          <w:tcPr>
            <w:shd w:val="clear" w:color="auto" w:fill="auto"/>
            <w:tcW w:w="1884" w:type="dxa"/>
            <w:vAlign w:val="center"/>
            <w:textDirection w:val="lrTb"/>
            <w:noWrap w:val="false"/>
          </w:tcPr>
          <w:p>
            <w:pPr>
              <w:jc w:val="center"/>
              <w:keepLines w:val="0"/>
              <w:keepNext w:val="0"/>
              <w:spacing w:after="0" w:line="240" w:lineRule="auto"/>
              <w:widowControl/>
              <w:rPr>
                <w:rFonts w:hint="default" w:ascii="宋体" w:hAnsi="宋体" w:eastAsia="宋体" w:cs="宋体"/>
                <w:b w:val="0"/>
                <w:bCs/>
                <w:color w:val="000000"/>
                <w:sz w:val="21"/>
                <w:szCs w:val="22"/>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15</w:t>
            </w:r>
            <w:r/>
          </w:p>
        </w:tc>
      </w:tr>
      <w:tr>
        <w:trPr>
          <w:trHeight w:val="442" w:hRule="exact"/>
        </w:trPr>
        <w:tc>
          <w:tcPr>
            <w:tcW w:w="780" w:type="dxa"/>
            <w:vAlign w:val="center"/>
            <w:textDirection w:val="lrTb"/>
            <w:noWrap w:val="false"/>
          </w:tcPr>
          <w:p>
            <w:pPr>
              <w:jc w:val="center"/>
              <w:spacing w:after="0" w:line="240" w:lineRule="auto"/>
              <w:rPr>
                <w:rFonts w:hint="default"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8</w:t>
            </w:r>
            <w:r/>
          </w:p>
        </w:tc>
        <w:tc>
          <w:tcPr>
            <w:tcW w:w="3668"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救生照明线</w:t>
            </w:r>
            <w:r/>
          </w:p>
        </w:tc>
        <w:tc>
          <w:tcPr>
            <w:tcW w:w="1993"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台</w:t>
            </w:r>
            <w:r/>
          </w:p>
        </w:tc>
        <w:tc>
          <w:tcPr>
            <w:shd w:val="clear" w:color="auto" w:fill="auto"/>
            <w:tcW w:w="1884" w:type="dxa"/>
            <w:vAlign w:val="center"/>
            <w:textDirection w:val="lrTb"/>
            <w:noWrap w:val="false"/>
          </w:tcPr>
          <w:p>
            <w:pPr>
              <w:jc w:val="center"/>
              <w:keepLines w:val="0"/>
              <w:keepNext w:val="0"/>
              <w:spacing w:after="0" w:line="240" w:lineRule="auto"/>
              <w:widowControl/>
              <w:rPr>
                <w:rFonts w:hint="default" w:ascii="宋体" w:hAnsi="宋体" w:eastAsia="宋体" w:cs="宋体"/>
                <w:b w:val="0"/>
                <w:bCs/>
                <w:color w:val="000000"/>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442" w:hRule="exact"/>
        </w:trPr>
        <w:tc>
          <w:tcPr>
            <w:tcW w:w="780" w:type="dxa"/>
            <w:vAlign w:val="center"/>
            <w:textDirection w:val="lrTb"/>
            <w:noWrap w:val="false"/>
          </w:tcPr>
          <w:p>
            <w:pPr>
              <w:jc w:val="center"/>
              <w:spacing w:after="0" w:line="240" w:lineRule="auto"/>
              <w:rPr>
                <w:rFonts w:hint="default"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9</w:t>
            </w:r>
            <w:r/>
          </w:p>
        </w:tc>
        <w:tc>
          <w:tcPr>
            <w:tcW w:w="3668"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可燃气体探测仪</w:t>
            </w:r>
            <w:r/>
          </w:p>
        </w:tc>
        <w:tc>
          <w:tcPr>
            <w:tcW w:w="1993"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个</w:t>
            </w:r>
            <w:r/>
          </w:p>
        </w:tc>
        <w:tc>
          <w:tcPr>
            <w:shd w:val="clear" w:color="auto" w:fill="auto"/>
            <w:tcW w:w="1884" w:type="dxa"/>
            <w:vAlign w:val="center"/>
            <w:textDirection w:val="lrTb"/>
            <w:noWrap w:val="false"/>
          </w:tcPr>
          <w:p>
            <w:pPr>
              <w:jc w:val="center"/>
              <w:keepLines w:val="0"/>
              <w:keepNext w:val="0"/>
              <w:spacing w:after="0" w:line="240" w:lineRule="auto"/>
              <w:widowControl/>
              <w:rPr>
                <w:rFonts w:hint="default" w:ascii="宋体" w:hAnsi="宋体" w:eastAsia="宋体" w:cs="宋体"/>
                <w:b w:val="0"/>
                <w:bCs/>
                <w:color w:val="000000"/>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442" w:hRule="exact"/>
        </w:trPr>
        <w:tc>
          <w:tcPr>
            <w:tcW w:w="780" w:type="dxa"/>
            <w:vAlign w:val="center"/>
            <w:textDirection w:val="lrTb"/>
            <w:noWrap w:val="false"/>
          </w:tcPr>
          <w:p>
            <w:pPr>
              <w:jc w:val="center"/>
              <w:spacing w:after="0" w:line="240" w:lineRule="auto"/>
              <w:rPr>
                <w:rFonts w:hint="default"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10</w:t>
            </w:r>
            <w:r/>
          </w:p>
        </w:tc>
        <w:tc>
          <w:tcPr>
            <w:tcW w:w="3668"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测温仪</w:t>
            </w:r>
            <w:r/>
          </w:p>
        </w:tc>
        <w:tc>
          <w:tcPr>
            <w:tcW w:w="1993"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个</w:t>
            </w:r>
            <w:r/>
          </w:p>
        </w:tc>
        <w:tc>
          <w:tcPr>
            <w:shd w:val="clear" w:color="auto" w:fill="auto"/>
            <w:tcW w:w="1884" w:type="dxa"/>
            <w:vAlign w:val="center"/>
            <w:textDirection w:val="lrTb"/>
            <w:noWrap w:val="false"/>
          </w:tcPr>
          <w:p>
            <w:pPr>
              <w:jc w:val="center"/>
              <w:keepLines w:val="0"/>
              <w:keepNext w:val="0"/>
              <w:spacing w:after="0" w:line="240" w:lineRule="auto"/>
              <w:widowControl/>
              <w:rPr>
                <w:rFonts w:hint="default" w:ascii="宋体" w:hAnsi="宋体" w:eastAsia="宋体" w:cs="宋体"/>
                <w:b w:val="0"/>
                <w:bCs/>
                <w:color w:val="000000"/>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442" w:hRule="exact"/>
        </w:trPr>
        <w:tc>
          <w:tcPr>
            <w:tcW w:w="780" w:type="dxa"/>
            <w:vAlign w:val="center"/>
            <w:textDirection w:val="lrTb"/>
            <w:noWrap w:val="false"/>
          </w:tcPr>
          <w:p>
            <w:pPr>
              <w:jc w:val="center"/>
              <w:spacing w:after="0" w:line="240" w:lineRule="auto"/>
              <w:rPr>
                <w:rFonts w:hint="default"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11</w:t>
            </w:r>
            <w:r/>
          </w:p>
        </w:tc>
        <w:tc>
          <w:tcPr>
            <w:tcW w:w="3668"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漏电检测仪</w:t>
            </w:r>
            <w:r/>
          </w:p>
        </w:tc>
        <w:tc>
          <w:tcPr>
            <w:tcW w:w="1993"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个</w:t>
            </w:r>
            <w:r/>
          </w:p>
        </w:tc>
        <w:tc>
          <w:tcPr>
            <w:shd w:val="clear" w:color="auto" w:fill="auto"/>
            <w:tcW w:w="1884" w:type="dxa"/>
            <w:vAlign w:val="center"/>
            <w:textDirection w:val="lrTb"/>
            <w:noWrap w:val="false"/>
          </w:tcPr>
          <w:p>
            <w:pPr>
              <w:jc w:val="center"/>
              <w:keepLines w:val="0"/>
              <w:keepNext w:val="0"/>
              <w:spacing w:after="0" w:line="240" w:lineRule="auto"/>
              <w:widowControl/>
              <w:rPr>
                <w:rFonts w:hint="default" w:ascii="宋体" w:hAnsi="宋体" w:eastAsia="宋体" w:cs="宋体"/>
                <w:b w:val="0"/>
                <w:bCs/>
                <w:color w:val="000000"/>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591" w:hRule="exact"/>
        </w:trPr>
        <w:tc>
          <w:tcPr>
            <w:tcW w:w="780" w:type="dxa"/>
            <w:vAlign w:val="center"/>
            <w:textDirection w:val="lrTb"/>
            <w:noWrap w:val="false"/>
          </w:tcPr>
          <w:p>
            <w:pPr>
              <w:jc w:val="center"/>
              <w:spacing w:after="0" w:line="240" w:lineRule="auto"/>
              <w:rPr>
                <w:rFonts w:hint="default"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12</w:t>
            </w:r>
            <w:r/>
          </w:p>
        </w:tc>
        <w:tc>
          <w:tcPr>
            <w:tcW w:w="3668"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红外热成像仪</w:t>
            </w:r>
            <w:r>
              <w:rPr>
                <w:rFonts w:hint="eastAsia" w:ascii="宋体" w:hAnsi="宋体" w:eastAsia="宋体" w:cs="宋体"/>
                <w:b w:val="0"/>
                <w:bCs/>
                <w:color w:val="000000"/>
                <w:highlight w:val="none"/>
                <w:vertAlign w:val="baseline"/>
                <w:lang w:val="en-US" w:eastAsia="zh-CN"/>
              </w:rPr>
              <w:br/>
            </w:r>
            <w:r>
              <w:rPr>
                <w:rFonts w:hint="eastAsia" w:ascii="宋体" w:hAnsi="宋体" w:eastAsia="宋体" w:cs="宋体"/>
                <w:b w:val="0"/>
                <w:bCs/>
                <w:color w:val="000000"/>
                <w:highlight w:val="none"/>
                <w:vertAlign w:val="baseline"/>
                <w:lang w:val="en-US" w:eastAsia="zh-CN"/>
              </w:rPr>
              <w:t xml:space="preserve">（核心产品）</w:t>
            </w:r>
            <w:r/>
          </w:p>
        </w:tc>
        <w:tc>
          <w:tcPr>
            <w:tcW w:w="1993"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个</w:t>
            </w:r>
            <w:r/>
          </w:p>
        </w:tc>
        <w:tc>
          <w:tcPr>
            <w:shd w:val="clear" w:color="auto" w:fill="auto"/>
            <w:tcW w:w="1884" w:type="dxa"/>
            <w:vAlign w:val="center"/>
            <w:textDirection w:val="lrTb"/>
            <w:noWrap w:val="false"/>
          </w:tcPr>
          <w:p>
            <w:pPr>
              <w:jc w:val="center"/>
              <w:keepLines w:val="0"/>
              <w:keepNext w:val="0"/>
              <w:spacing w:after="0" w:line="240" w:lineRule="auto"/>
              <w:widowControl/>
              <w:rPr>
                <w:rFonts w:hint="default" w:ascii="宋体" w:hAnsi="宋体" w:eastAsia="宋体" w:cs="宋体"/>
                <w:b w:val="0"/>
                <w:bCs/>
                <w:color w:val="000000"/>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442" w:hRule="exact"/>
        </w:trPr>
        <w:tc>
          <w:tcPr>
            <w:tcW w:w="780" w:type="dxa"/>
            <w:vAlign w:val="center"/>
            <w:textDirection w:val="lrTb"/>
            <w:noWrap w:val="false"/>
          </w:tcPr>
          <w:p>
            <w:pPr>
              <w:jc w:val="center"/>
              <w:spacing w:after="0" w:line="240" w:lineRule="auto"/>
              <w:rPr>
                <w:rFonts w:hint="default"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13</w:t>
            </w:r>
            <w:r/>
          </w:p>
        </w:tc>
        <w:tc>
          <w:tcPr>
            <w:tcW w:w="3668"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机动液压破拆工具组</w:t>
            </w:r>
            <w:r/>
          </w:p>
        </w:tc>
        <w:tc>
          <w:tcPr>
            <w:tcW w:w="1993"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套</w:t>
            </w:r>
            <w:r/>
          </w:p>
        </w:tc>
        <w:tc>
          <w:tcPr>
            <w:shd w:val="clear" w:color="auto" w:fill="auto"/>
            <w:tcW w:w="1884" w:type="dxa"/>
            <w:vAlign w:val="center"/>
            <w:textDirection w:val="lrTb"/>
            <w:noWrap w:val="false"/>
          </w:tcPr>
          <w:p>
            <w:pPr>
              <w:jc w:val="center"/>
              <w:keepLines w:val="0"/>
              <w:keepNext w:val="0"/>
              <w:spacing w:after="0" w:line="240" w:lineRule="auto"/>
              <w:widowControl/>
              <w:rPr>
                <w:rFonts w:hint="default" w:ascii="宋体" w:hAnsi="宋体" w:eastAsia="宋体" w:cs="宋体"/>
                <w:b w:val="0"/>
                <w:bCs/>
                <w:color w:val="000000"/>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442" w:hRule="exact"/>
        </w:trPr>
        <w:tc>
          <w:tcPr>
            <w:tcW w:w="780" w:type="dxa"/>
            <w:vAlign w:val="center"/>
            <w:textDirection w:val="lrTb"/>
            <w:noWrap w:val="false"/>
          </w:tcPr>
          <w:p>
            <w:pPr>
              <w:jc w:val="center"/>
              <w:spacing w:after="0" w:line="240" w:lineRule="auto"/>
              <w:rPr>
                <w:rFonts w:hint="default"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14</w:t>
            </w:r>
            <w:r/>
          </w:p>
        </w:tc>
        <w:tc>
          <w:tcPr>
            <w:tcW w:w="3668"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哈利根铁铤</w:t>
            </w:r>
            <w:r/>
          </w:p>
        </w:tc>
        <w:tc>
          <w:tcPr>
            <w:tcW w:w="1993"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根</w:t>
            </w:r>
            <w:r/>
          </w:p>
        </w:tc>
        <w:tc>
          <w:tcPr>
            <w:shd w:val="clear" w:color="auto" w:fill="auto"/>
            <w:tcW w:w="1884" w:type="dxa"/>
            <w:vAlign w:val="center"/>
            <w:textDirection w:val="lrTb"/>
            <w:noWrap w:val="false"/>
          </w:tcPr>
          <w:p>
            <w:pPr>
              <w:jc w:val="center"/>
              <w:keepLines w:val="0"/>
              <w:keepNext w:val="0"/>
              <w:spacing w:after="0" w:line="240" w:lineRule="auto"/>
              <w:widowControl/>
              <w:rPr>
                <w:rFonts w:hint="default" w:ascii="宋体" w:hAnsi="宋体" w:eastAsia="宋体" w:cs="宋体"/>
                <w:b w:val="0"/>
                <w:bCs/>
                <w:color w:val="000000"/>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442" w:hRule="exact"/>
        </w:trPr>
        <w:tc>
          <w:tcPr>
            <w:tcW w:w="780" w:type="dxa"/>
            <w:vAlign w:val="center"/>
            <w:textDirection w:val="lrTb"/>
            <w:noWrap w:val="false"/>
          </w:tcPr>
          <w:p>
            <w:pPr>
              <w:jc w:val="center"/>
              <w:spacing w:after="0" w:line="240" w:lineRule="auto"/>
              <w:rPr>
                <w:rFonts w:hint="default"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15</w:t>
            </w:r>
            <w:r/>
          </w:p>
        </w:tc>
        <w:tc>
          <w:tcPr>
            <w:tcW w:w="3668"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砂轮片</w:t>
            </w:r>
            <w:r/>
          </w:p>
        </w:tc>
        <w:tc>
          <w:tcPr>
            <w:tcW w:w="1993"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张</w:t>
            </w:r>
            <w:r/>
          </w:p>
        </w:tc>
        <w:tc>
          <w:tcPr>
            <w:shd w:val="clear" w:color="auto" w:fill="auto"/>
            <w:tcW w:w="1884" w:type="dxa"/>
            <w:vAlign w:val="center"/>
            <w:textDirection w:val="lrTb"/>
            <w:noWrap w:val="false"/>
          </w:tcPr>
          <w:p>
            <w:pPr>
              <w:jc w:val="center"/>
              <w:keepLines w:val="0"/>
              <w:keepNext w:val="0"/>
              <w:spacing w:after="0" w:line="240" w:lineRule="auto"/>
              <w:widowControl/>
              <w:rPr>
                <w:rFonts w:hint="default" w:ascii="宋体" w:hAnsi="宋体" w:eastAsia="宋体" w:cs="宋体"/>
                <w:b w:val="0"/>
                <w:bCs/>
                <w:color w:val="000000"/>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20</w:t>
            </w:r>
            <w:r/>
          </w:p>
        </w:tc>
      </w:tr>
      <w:tr>
        <w:trPr>
          <w:trHeight w:val="442" w:hRule="exact"/>
        </w:trPr>
        <w:tc>
          <w:tcPr>
            <w:tcW w:w="780" w:type="dxa"/>
            <w:vAlign w:val="center"/>
            <w:textDirection w:val="lrTb"/>
            <w:noWrap w:val="false"/>
          </w:tcPr>
          <w:p>
            <w:pPr>
              <w:jc w:val="center"/>
              <w:spacing w:after="0" w:line="240" w:lineRule="auto"/>
              <w:rPr>
                <w:rFonts w:hint="default"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16</w:t>
            </w:r>
            <w:r/>
          </w:p>
        </w:tc>
        <w:tc>
          <w:tcPr>
            <w:tcW w:w="3668"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机动链锯</w:t>
            </w:r>
            <w:r/>
          </w:p>
        </w:tc>
        <w:tc>
          <w:tcPr>
            <w:tcW w:w="1993"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台</w:t>
            </w:r>
            <w:r/>
          </w:p>
        </w:tc>
        <w:tc>
          <w:tcPr>
            <w:shd w:val="clear" w:color="auto" w:fill="auto"/>
            <w:tcW w:w="1884" w:type="dxa"/>
            <w:vAlign w:val="center"/>
            <w:textDirection w:val="lrTb"/>
            <w:noWrap w:val="false"/>
          </w:tcPr>
          <w:p>
            <w:pPr>
              <w:jc w:val="center"/>
              <w:keepLines w:val="0"/>
              <w:keepNext w:val="0"/>
              <w:spacing w:after="0" w:line="240" w:lineRule="auto"/>
              <w:widowControl/>
              <w:rPr>
                <w:rFonts w:hint="default" w:ascii="宋体" w:hAnsi="宋体" w:eastAsia="宋体" w:cs="宋体"/>
                <w:b w:val="0"/>
                <w:bCs/>
                <w:color w:val="000000"/>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w:t>
            </w:r>
            <w:r/>
          </w:p>
        </w:tc>
      </w:tr>
      <w:tr>
        <w:trPr>
          <w:trHeight w:val="442" w:hRule="exact"/>
        </w:trPr>
        <w:tc>
          <w:tcPr>
            <w:tcW w:w="780" w:type="dxa"/>
            <w:vAlign w:val="center"/>
            <w:textDirection w:val="lrTb"/>
            <w:noWrap w:val="false"/>
          </w:tcPr>
          <w:p>
            <w:pPr>
              <w:jc w:val="center"/>
              <w:spacing w:after="0" w:line="240" w:lineRule="auto"/>
              <w:rPr>
                <w:rFonts w:hint="default"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17</w:t>
            </w:r>
            <w:r/>
          </w:p>
        </w:tc>
        <w:tc>
          <w:tcPr>
            <w:tcW w:w="3668"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通用安全绳50米</w:t>
            </w:r>
            <w:r/>
          </w:p>
        </w:tc>
        <w:tc>
          <w:tcPr>
            <w:tcW w:w="1993"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根</w:t>
            </w:r>
            <w:r/>
          </w:p>
        </w:tc>
        <w:tc>
          <w:tcPr>
            <w:shd w:val="clear" w:color="auto" w:fill="auto"/>
            <w:tcW w:w="1884" w:type="dxa"/>
            <w:vAlign w:val="center"/>
            <w:textDirection w:val="lrTb"/>
            <w:noWrap w:val="false"/>
          </w:tcPr>
          <w:p>
            <w:pPr>
              <w:jc w:val="center"/>
              <w:keepLines w:val="0"/>
              <w:keepNext w:val="0"/>
              <w:spacing w:after="0" w:line="240" w:lineRule="auto"/>
              <w:widowControl/>
              <w:rPr>
                <w:rFonts w:hint="default" w:ascii="宋体" w:hAnsi="宋体" w:eastAsia="宋体" w:cs="宋体"/>
                <w:b w:val="0"/>
                <w:bCs/>
                <w:color w:val="000000"/>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442" w:hRule="exact"/>
        </w:trPr>
        <w:tc>
          <w:tcPr>
            <w:tcW w:w="780" w:type="dxa"/>
            <w:vAlign w:val="center"/>
            <w:textDirection w:val="lrTb"/>
            <w:noWrap w:val="false"/>
          </w:tcPr>
          <w:p>
            <w:pPr>
              <w:jc w:val="center"/>
              <w:spacing w:after="0" w:line="240" w:lineRule="auto"/>
              <w:rPr>
                <w:rFonts w:hint="default"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18</w:t>
            </w:r>
            <w:r/>
          </w:p>
        </w:tc>
        <w:tc>
          <w:tcPr>
            <w:tcW w:w="3668"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轻型安全绳20米</w:t>
            </w:r>
            <w:r/>
          </w:p>
        </w:tc>
        <w:tc>
          <w:tcPr>
            <w:tcW w:w="1993"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根</w:t>
            </w:r>
            <w:r/>
          </w:p>
        </w:tc>
        <w:tc>
          <w:tcPr>
            <w:shd w:val="clear" w:color="auto" w:fill="auto"/>
            <w:tcW w:w="1884" w:type="dxa"/>
            <w:vAlign w:val="center"/>
            <w:textDirection w:val="lrTb"/>
            <w:noWrap w:val="false"/>
          </w:tcPr>
          <w:p>
            <w:pPr>
              <w:jc w:val="center"/>
              <w:keepLines w:val="0"/>
              <w:keepNext w:val="0"/>
              <w:spacing w:after="0" w:line="240" w:lineRule="auto"/>
              <w:widowControl/>
              <w:rPr>
                <w:rFonts w:hint="default" w:ascii="宋体" w:hAnsi="宋体" w:eastAsia="宋体" w:cs="宋体"/>
                <w:b w:val="0"/>
                <w:bCs/>
                <w:color w:val="000000"/>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12</w:t>
            </w:r>
            <w:r/>
          </w:p>
        </w:tc>
      </w:tr>
      <w:tr>
        <w:trPr>
          <w:trHeight w:val="442" w:hRule="exact"/>
        </w:trPr>
        <w:tc>
          <w:tcPr>
            <w:tcW w:w="780" w:type="dxa"/>
            <w:vAlign w:val="center"/>
            <w:textDirection w:val="lrTb"/>
            <w:noWrap w:val="false"/>
          </w:tcPr>
          <w:p>
            <w:pPr>
              <w:jc w:val="center"/>
              <w:spacing w:after="0" w:line="240" w:lineRule="auto"/>
              <w:rPr>
                <w:rFonts w:hint="default"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19</w:t>
            </w:r>
            <w:r/>
          </w:p>
        </w:tc>
        <w:tc>
          <w:tcPr>
            <w:tcW w:w="3668"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移动水炮</w:t>
            </w:r>
            <w:r/>
          </w:p>
        </w:tc>
        <w:tc>
          <w:tcPr>
            <w:tcW w:w="1993"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台</w:t>
            </w:r>
            <w:r/>
          </w:p>
        </w:tc>
        <w:tc>
          <w:tcPr>
            <w:shd w:val="clear" w:color="auto" w:fill="auto"/>
            <w:tcW w:w="1884" w:type="dxa"/>
            <w:vAlign w:val="center"/>
            <w:textDirection w:val="lrTb"/>
            <w:noWrap w:val="false"/>
          </w:tcPr>
          <w:p>
            <w:pPr>
              <w:jc w:val="center"/>
              <w:keepLines w:val="0"/>
              <w:keepNext w:val="0"/>
              <w:spacing w:after="0" w:line="240" w:lineRule="auto"/>
              <w:widowControl/>
              <w:rPr>
                <w:rFonts w:hint="default" w:ascii="宋体" w:hAnsi="宋体" w:eastAsia="宋体" w:cs="宋体"/>
                <w:b w:val="0"/>
                <w:bCs/>
                <w:color w:val="000000"/>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442" w:hRule="exact"/>
        </w:trPr>
        <w:tc>
          <w:tcPr>
            <w:tcW w:w="780" w:type="dxa"/>
            <w:vAlign w:val="center"/>
            <w:textDirection w:val="lrTb"/>
            <w:noWrap w:val="false"/>
          </w:tcPr>
          <w:p>
            <w:pPr>
              <w:jc w:val="center"/>
              <w:spacing w:after="0" w:line="240" w:lineRule="auto"/>
              <w:rPr>
                <w:rFonts w:hint="default"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20</w:t>
            </w:r>
            <w:r/>
          </w:p>
        </w:tc>
        <w:tc>
          <w:tcPr>
            <w:tcW w:w="3668" w:type="dxa"/>
            <w:vAlign w:val="center"/>
            <w:textDirection w:val="lrTb"/>
            <w:noWrap w:val="false"/>
          </w:tcPr>
          <w:p>
            <w:pPr>
              <w:jc w:val="center"/>
              <w:spacing w:after="0" w:line="240" w:lineRule="auto"/>
              <w:rPr>
                <w:rFonts w:hint="default"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65毫米口径快速接口水带</w:t>
            </w:r>
            <w:r/>
          </w:p>
        </w:tc>
        <w:tc>
          <w:tcPr>
            <w:tcW w:w="1993"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盘</w:t>
            </w:r>
            <w:r/>
          </w:p>
        </w:tc>
        <w:tc>
          <w:tcPr>
            <w:shd w:val="clear" w:color="auto" w:fill="auto"/>
            <w:tcW w:w="1884" w:type="dxa"/>
            <w:vAlign w:val="center"/>
            <w:textDirection w:val="lrTb"/>
            <w:noWrap w:val="false"/>
          </w:tcPr>
          <w:p>
            <w:pPr>
              <w:jc w:val="center"/>
              <w:keepLines w:val="0"/>
              <w:keepNext w:val="0"/>
              <w:spacing w:after="0" w:line="240" w:lineRule="auto"/>
              <w:widowControl/>
              <w:rPr>
                <w:rFonts w:hint="default" w:ascii="宋体" w:hAnsi="宋体" w:eastAsia="宋体" w:cs="宋体"/>
                <w:b w:val="0"/>
                <w:bCs/>
                <w:color w:val="000000"/>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20</w:t>
            </w:r>
            <w:r/>
          </w:p>
        </w:tc>
      </w:tr>
      <w:tr>
        <w:trPr>
          <w:trHeight w:val="442" w:hRule="exact"/>
        </w:trPr>
        <w:tc>
          <w:tcPr>
            <w:tcW w:w="780" w:type="dxa"/>
            <w:vAlign w:val="center"/>
            <w:textDirection w:val="lrTb"/>
            <w:noWrap w:val="false"/>
          </w:tcPr>
          <w:p>
            <w:pPr>
              <w:jc w:val="center"/>
              <w:spacing w:after="0" w:line="240" w:lineRule="auto"/>
              <w:rPr>
                <w:rFonts w:hint="default"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21</w:t>
            </w:r>
            <w:r/>
          </w:p>
        </w:tc>
        <w:tc>
          <w:tcPr>
            <w:tcW w:w="3668"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80毫米口径快速接口水带</w:t>
            </w:r>
            <w:r/>
          </w:p>
        </w:tc>
        <w:tc>
          <w:tcPr>
            <w:tcW w:w="1993"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盘</w:t>
            </w:r>
            <w:r/>
          </w:p>
        </w:tc>
        <w:tc>
          <w:tcPr>
            <w:shd w:val="clear" w:color="auto" w:fill="auto"/>
            <w:tcW w:w="1884" w:type="dxa"/>
            <w:vAlign w:val="center"/>
            <w:textDirection w:val="lrTb"/>
            <w:noWrap w:val="false"/>
          </w:tcPr>
          <w:p>
            <w:pPr>
              <w:jc w:val="center"/>
              <w:keepLines w:val="0"/>
              <w:keepNext w:val="0"/>
              <w:spacing w:after="0" w:line="240" w:lineRule="auto"/>
              <w:widowControl/>
              <w:rPr>
                <w:rFonts w:hint="default" w:ascii="宋体" w:hAnsi="宋体" w:eastAsia="宋体" w:cs="宋体"/>
                <w:b w:val="0"/>
                <w:bCs/>
                <w:color w:val="000000"/>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20</w:t>
            </w:r>
            <w:r/>
          </w:p>
        </w:tc>
      </w:tr>
      <w:tr>
        <w:trPr>
          <w:trHeight w:val="442" w:hRule="exact"/>
        </w:trPr>
        <w:tc>
          <w:tcPr>
            <w:tcW w:w="780" w:type="dxa"/>
            <w:vAlign w:val="center"/>
            <w:textDirection w:val="lrTb"/>
            <w:noWrap w:val="false"/>
          </w:tcPr>
          <w:p>
            <w:pPr>
              <w:jc w:val="center"/>
              <w:spacing w:after="0" w:line="240" w:lineRule="auto"/>
              <w:rPr>
                <w:rFonts w:hint="default"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22</w:t>
            </w:r>
            <w:r/>
          </w:p>
        </w:tc>
        <w:tc>
          <w:tcPr>
            <w:tcW w:w="3668"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水带挂钩</w:t>
            </w:r>
            <w:r/>
          </w:p>
        </w:tc>
        <w:tc>
          <w:tcPr>
            <w:tcW w:w="1993"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个</w:t>
            </w:r>
            <w:r/>
          </w:p>
        </w:tc>
        <w:tc>
          <w:tcPr>
            <w:shd w:val="clear" w:color="auto" w:fill="auto"/>
            <w:tcW w:w="1884" w:type="dxa"/>
            <w:vAlign w:val="center"/>
            <w:textDirection w:val="lrTb"/>
            <w:noWrap w:val="false"/>
          </w:tcPr>
          <w:p>
            <w:pPr>
              <w:jc w:val="center"/>
              <w:keepLines w:val="0"/>
              <w:keepNext w:val="0"/>
              <w:spacing w:after="0" w:line="240" w:lineRule="auto"/>
              <w:widowControl/>
              <w:rPr>
                <w:rFonts w:hint="default" w:ascii="宋体" w:hAnsi="宋体" w:eastAsia="宋体" w:cs="宋体"/>
                <w:b w:val="0"/>
                <w:bCs/>
                <w:color w:val="000000"/>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20</w:t>
            </w:r>
            <w:r/>
          </w:p>
        </w:tc>
      </w:tr>
      <w:tr>
        <w:trPr>
          <w:trHeight w:val="442" w:hRule="exact"/>
        </w:trPr>
        <w:tc>
          <w:tcPr>
            <w:tcW w:w="780" w:type="dxa"/>
            <w:vAlign w:val="center"/>
            <w:textDirection w:val="lrTb"/>
            <w:noWrap w:val="false"/>
          </w:tcPr>
          <w:p>
            <w:pPr>
              <w:jc w:val="center"/>
              <w:spacing w:after="0" w:line="240" w:lineRule="auto"/>
              <w:rPr>
                <w:rFonts w:hint="default"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23</w:t>
            </w:r>
            <w:r/>
          </w:p>
        </w:tc>
        <w:tc>
          <w:tcPr>
            <w:tcW w:w="3668" w:type="dxa"/>
            <w:vAlign w:val="center"/>
            <w:textDirection w:val="lrTb"/>
            <w:noWrap w:val="false"/>
          </w:tcPr>
          <w:p>
            <w:pPr>
              <w:jc w:val="center"/>
              <w:spacing w:after="0" w:line="240" w:lineRule="auto"/>
              <w:rPr>
                <w:rFonts w:hint="default"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水带包布</w:t>
            </w:r>
            <w:r/>
          </w:p>
        </w:tc>
        <w:tc>
          <w:tcPr>
            <w:tcW w:w="1993"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卷</w:t>
            </w:r>
            <w:r/>
          </w:p>
        </w:tc>
        <w:tc>
          <w:tcPr>
            <w:shd w:val="clear" w:color="auto" w:fill="auto"/>
            <w:tcW w:w="1884" w:type="dxa"/>
            <w:vAlign w:val="center"/>
            <w:textDirection w:val="lrTb"/>
            <w:noWrap w:val="false"/>
          </w:tcPr>
          <w:p>
            <w:pPr>
              <w:jc w:val="center"/>
              <w:keepLines w:val="0"/>
              <w:keepNext w:val="0"/>
              <w:spacing w:after="0" w:line="240" w:lineRule="auto"/>
              <w:widowControl/>
              <w:rPr>
                <w:rFonts w:hint="default" w:ascii="宋体" w:hAnsi="宋体" w:eastAsia="宋体" w:cs="宋体"/>
                <w:b w:val="0"/>
                <w:bCs/>
                <w:color w:val="000000"/>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20</w:t>
            </w:r>
            <w:r/>
          </w:p>
        </w:tc>
      </w:tr>
      <w:tr>
        <w:trPr>
          <w:trHeight w:val="442" w:hRule="exact"/>
        </w:trPr>
        <w:tc>
          <w:tcPr>
            <w:tcW w:w="780" w:type="dxa"/>
            <w:vAlign w:val="center"/>
            <w:textDirection w:val="lrTb"/>
            <w:noWrap w:val="false"/>
          </w:tcPr>
          <w:p>
            <w:pPr>
              <w:jc w:val="center"/>
              <w:spacing w:after="0" w:line="240" w:lineRule="auto"/>
              <w:rPr>
                <w:rFonts w:hint="default"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24</w:t>
            </w:r>
            <w:r/>
          </w:p>
        </w:tc>
        <w:tc>
          <w:tcPr>
            <w:tcW w:w="3668"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三分水器</w:t>
            </w:r>
            <w:r/>
          </w:p>
        </w:tc>
        <w:tc>
          <w:tcPr>
            <w:tcW w:w="1993"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个</w:t>
            </w:r>
            <w:r/>
          </w:p>
        </w:tc>
        <w:tc>
          <w:tcPr>
            <w:shd w:val="clear" w:color="auto" w:fill="auto"/>
            <w:tcW w:w="1884" w:type="dxa"/>
            <w:vAlign w:val="center"/>
            <w:textDirection w:val="lrTb"/>
            <w:noWrap w:val="false"/>
          </w:tcPr>
          <w:p>
            <w:pPr>
              <w:jc w:val="center"/>
              <w:keepLines w:val="0"/>
              <w:keepNext w:val="0"/>
              <w:spacing w:after="0" w:line="240" w:lineRule="auto"/>
              <w:widowControl/>
              <w:rPr>
                <w:rFonts w:hint="default" w:ascii="宋体" w:hAnsi="宋体" w:eastAsia="宋体" w:cs="宋体"/>
                <w:b w:val="0"/>
                <w:bCs/>
                <w:color w:val="000000"/>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442" w:hRule="exact"/>
        </w:trPr>
        <w:tc>
          <w:tcPr>
            <w:tcW w:w="780" w:type="dxa"/>
            <w:vAlign w:val="center"/>
            <w:textDirection w:val="lrTb"/>
            <w:noWrap w:val="false"/>
          </w:tcPr>
          <w:p>
            <w:pPr>
              <w:jc w:val="center"/>
              <w:spacing w:after="0" w:line="240" w:lineRule="auto"/>
              <w:rPr>
                <w:rFonts w:hint="default"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25</w:t>
            </w:r>
            <w:r/>
          </w:p>
        </w:tc>
        <w:tc>
          <w:tcPr>
            <w:tcW w:w="3668"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转换接口</w:t>
            </w:r>
            <w:r/>
          </w:p>
        </w:tc>
        <w:tc>
          <w:tcPr>
            <w:tcW w:w="1993"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个</w:t>
            </w:r>
            <w:r/>
          </w:p>
        </w:tc>
        <w:tc>
          <w:tcPr>
            <w:shd w:val="clear" w:color="auto" w:fill="auto"/>
            <w:tcW w:w="1884" w:type="dxa"/>
            <w:vAlign w:val="center"/>
            <w:textDirection w:val="lrTb"/>
            <w:noWrap w:val="false"/>
          </w:tcPr>
          <w:p>
            <w:pPr>
              <w:jc w:val="center"/>
              <w:keepLines w:val="0"/>
              <w:keepNext w:val="0"/>
              <w:spacing w:after="0" w:line="240" w:lineRule="auto"/>
              <w:widowControl/>
              <w:rPr>
                <w:rFonts w:hint="default" w:ascii="宋体" w:hAnsi="宋体" w:eastAsia="宋体" w:cs="宋体"/>
                <w:b w:val="0"/>
                <w:bCs/>
                <w:color w:val="000000"/>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442" w:hRule="exact"/>
        </w:trPr>
        <w:tc>
          <w:tcPr>
            <w:tcW w:w="780" w:type="dxa"/>
            <w:vAlign w:val="center"/>
            <w:textDirection w:val="lrTb"/>
            <w:noWrap w:val="false"/>
          </w:tcPr>
          <w:p>
            <w:pPr>
              <w:jc w:val="center"/>
              <w:spacing w:after="0" w:line="240" w:lineRule="auto"/>
              <w:rPr>
                <w:rFonts w:hint="default"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26</w:t>
            </w:r>
            <w:r/>
          </w:p>
        </w:tc>
        <w:tc>
          <w:tcPr>
            <w:tcW w:w="3668"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多功能水枪</w:t>
            </w:r>
            <w:r/>
          </w:p>
        </w:tc>
        <w:tc>
          <w:tcPr>
            <w:tcW w:w="1993"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把</w:t>
            </w:r>
            <w:r/>
          </w:p>
        </w:tc>
        <w:tc>
          <w:tcPr>
            <w:shd w:val="clear" w:color="auto" w:fill="auto"/>
            <w:tcW w:w="1884" w:type="dxa"/>
            <w:vAlign w:val="center"/>
            <w:textDirection w:val="lrTb"/>
            <w:noWrap w:val="false"/>
          </w:tcPr>
          <w:p>
            <w:pPr>
              <w:jc w:val="center"/>
              <w:keepLines w:val="0"/>
              <w:keepNext w:val="0"/>
              <w:spacing w:after="0" w:line="240" w:lineRule="auto"/>
              <w:widowControl/>
              <w:rPr>
                <w:rFonts w:hint="default" w:ascii="宋体" w:hAnsi="宋体" w:eastAsia="宋体" w:cs="宋体"/>
                <w:b w:val="0"/>
                <w:bCs/>
                <w:color w:val="000000"/>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7</w:t>
            </w:r>
            <w:r/>
          </w:p>
        </w:tc>
      </w:tr>
      <w:tr>
        <w:trPr>
          <w:trHeight w:val="442" w:hRule="exact"/>
        </w:trPr>
        <w:tc>
          <w:tcPr>
            <w:tcW w:w="780" w:type="dxa"/>
            <w:vAlign w:val="center"/>
            <w:textDirection w:val="lrTb"/>
            <w:noWrap w:val="false"/>
          </w:tcPr>
          <w:p>
            <w:pPr>
              <w:jc w:val="center"/>
              <w:spacing w:after="0" w:line="240" w:lineRule="auto"/>
              <w:rPr>
                <w:rFonts w:hint="default"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27</w:t>
            </w:r>
            <w:r/>
          </w:p>
        </w:tc>
        <w:tc>
          <w:tcPr>
            <w:tcW w:w="3668"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直流水枪</w:t>
            </w:r>
            <w:r/>
          </w:p>
        </w:tc>
        <w:tc>
          <w:tcPr>
            <w:tcW w:w="1993"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把</w:t>
            </w:r>
            <w:r/>
          </w:p>
        </w:tc>
        <w:tc>
          <w:tcPr>
            <w:shd w:val="clear" w:color="auto" w:fill="auto"/>
            <w:tcW w:w="1884" w:type="dxa"/>
            <w:vAlign w:val="center"/>
            <w:textDirection w:val="lrTb"/>
            <w:noWrap w:val="false"/>
          </w:tcPr>
          <w:p>
            <w:pPr>
              <w:jc w:val="center"/>
              <w:keepLines w:val="0"/>
              <w:keepNext w:val="0"/>
              <w:spacing w:after="0" w:line="240" w:lineRule="auto"/>
              <w:widowControl/>
              <w:rPr>
                <w:rFonts w:hint="default" w:ascii="宋体" w:hAnsi="宋体" w:eastAsia="宋体" w:cs="宋体"/>
                <w:b w:val="0"/>
                <w:bCs/>
                <w:color w:val="000000"/>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5</w:t>
            </w:r>
            <w:r/>
          </w:p>
        </w:tc>
      </w:tr>
      <w:tr>
        <w:trPr>
          <w:trHeight w:val="442" w:hRule="exact"/>
        </w:trPr>
        <w:tc>
          <w:tcPr>
            <w:tcW w:w="780" w:type="dxa"/>
            <w:vAlign w:val="center"/>
            <w:textDirection w:val="lrTb"/>
            <w:noWrap w:val="false"/>
          </w:tcPr>
          <w:p>
            <w:pPr>
              <w:jc w:val="center"/>
              <w:spacing w:after="0" w:line="240" w:lineRule="auto"/>
              <w:rPr>
                <w:rFonts w:hint="default"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28</w:t>
            </w:r>
            <w:r/>
          </w:p>
        </w:tc>
        <w:tc>
          <w:tcPr>
            <w:tcW w:w="3668"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50多功能水枪</w:t>
            </w:r>
            <w:r/>
          </w:p>
        </w:tc>
        <w:tc>
          <w:tcPr>
            <w:tcW w:w="1993"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把</w:t>
            </w:r>
            <w:r/>
          </w:p>
        </w:tc>
        <w:tc>
          <w:tcPr>
            <w:shd w:val="clear" w:color="auto" w:fill="auto"/>
            <w:tcW w:w="1884" w:type="dxa"/>
            <w:vAlign w:val="center"/>
            <w:textDirection w:val="lrTb"/>
            <w:noWrap w:val="false"/>
          </w:tcPr>
          <w:p>
            <w:pPr>
              <w:jc w:val="center"/>
              <w:keepLines w:val="0"/>
              <w:keepNext w:val="0"/>
              <w:spacing w:after="0" w:line="240" w:lineRule="auto"/>
              <w:widowControl/>
              <w:rPr>
                <w:rFonts w:hint="default" w:ascii="宋体" w:hAnsi="宋体" w:eastAsia="宋体" w:cs="宋体"/>
                <w:b w:val="0"/>
                <w:bCs/>
                <w:color w:val="000000"/>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10</w:t>
            </w:r>
            <w:r/>
          </w:p>
        </w:tc>
      </w:tr>
      <w:tr>
        <w:trPr>
          <w:trHeight w:val="442" w:hRule="exact"/>
        </w:trPr>
        <w:tc>
          <w:tcPr>
            <w:tcW w:w="780" w:type="dxa"/>
            <w:vAlign w:val="center"/>
            <w:textDirection w:val="lrTb"/>
            <w:noWrap w:val="false"/>
          </w:tcPr>
          <w:p>
            <w:pPr>
              <w:jc w:val="center"/>
              <w:spacing w:after="0" w:line="240" w:lineRule="auto"/>
              <w:rPr>
                <w:rFonts w:hint="default"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29</w:t>
            </w:r>
            <w:r/>
          </w:p>
        </w:tc>
        <w:tc>
          <w:tcPr>
            <w:tcW w:w="3668" w:type="dxa"/>
            <w:vAlign w:val="center"/>
            <w:textDirection w:val="lrTb"/>
            <w:noWrap w:val="false"/>
          </w:tcPr>
          <w:p>
            <w:pPr>
              <w:jc w:val="center"/>
              <w:spacing w:after="0" w:line="240" w:lineRule="auto"/>
              <w:rPr>
                <w:rFonts w:hint="default"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50直流水枪</w:t>
            </w:r>
            <w:r/>
          </w:p>
        </w:tc>
        <w:tc>
          <w:tcPr>
            <w:tcW w:w="1993"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把</w:t>
            </w:r>
            <w:r/>
          </w:p>
        </w:tc>
        <w:tc>
          <w:tcPr>
            <w:shd w:val="clear" w:color="auto" w:fill="auto"/>
            <w:tcW w:w="1884" w:type="dxa"/>
            <w:vAlign w:val="center"/>
            <w:textDirection w:val="lrTb"/>
            <w:noWrap w:val="false"/>
          </w:tcPr>
          <w:p>
            <w:pPr>
              <w:jc w:val="center"/>
              <w:keepLines w:val="0"/>
              <w:keepNext w:val="0"/>
              <w:spacing w:after="0" w:line="240" w:lineRule="auto"/>
              <w:widowControl/>
              <w:rPr>
                <w:rFonts w:hint="default" w:ascii="宋体" w:hAnsi="宋体" w:eastAsia="宋体" w:cs="宋体"/>
                <w:b w:val="0"/>
                <w:bCs/>
                <w:color w:val="000000"/>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442" w:hRule="exact"/>
        </w:trPr>
        <w:tc>
          <w:tcPr>
            <w:tcW w:w="780" w:type="dxa"/>
            <w:vAlign w:val="center"/>
            <w:textDirection w:val="lrTb"/>
            <w:noWrap w:val="false"/>
          </w:tcPr>
          <w:p>
            <w:pPr>
              <w:jc w:val="center"/>
              <w:spacing w:after="0" w:line="240" w:lineRule="auto"/>
              <w:rPr>
                <w:rFonts w:hint="default"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30</w:t>
            </w:r>
            <w:r/>
          </w:p>
        </w:tc>
        <w:tc>
          <w:tcPr>
            <w:tcW w:w="3668" w:type="dxa"/>
            <w:vAlign w:val="center"/>
            <w:textDirection w:val="lrTb"/>
            <w:noWrap w:val="false"/>
          </w:tcPr>
          <w:p>
            <w:pPr>
              <w:jc w:val="center"/>
              <w:spacing w:after="0" w:line="240" w:lineRule="auto"/>
              <w:rPr>
                <w:rFonts w:hint="default"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50水带</w:t>
            </w:r>
            <w:r/>
          </w:p>
        </w:tc>
        <w:tc>
          <w:tcPr>
            <w:tcW w:w="1993"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盘</w:t>
            </w:r>
            <w:r/>
          </w:p>
        </w:tc>
        <w:tc>
          <w:tcPr>
            <w:shd w:val="clear" w:color="auto" w:fill="auto"/>
            <w:tcW w:w="1884" w:type="dxa"/>
            <w:vAlign w:val="center"/>
            <w:textDirection w:val="lrTb"/>
            <w:noWrap w:val="false"/>
          </w:tcPr>
          <w:p>
            <w:pPr>
              <w:jc w:val="center"/>
              <w:keepLines w:val="0"/>
              <w:keepNext w:val="0"/>
              <w:spacing w:after="0" w:line="240" w:lineRule="auto"/>
              <w:widowControl/>
              <w:rPr>
                <w:rFonts w:hint="default" w:ascii="宋体" w:hAnsi="宋体" w:eastAsia="宋体" w:cs="宋体"/>
                <w:b w:val="0"/>
                <w:bCs/>
                <w:color w:val="000000"/>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34</w:t>
            </w:r>
            <w:r/>
          </w:p>
        </w:tc>
      </w:tr>
      <w:tr>
        <w:trPr>
          <w:trHeight w:val="442" w:hRule="exact"/>
        </w:trPr>
        <w:tc>
          <w:tcPr>
            <w:tcW w:w="780" w:type="dxa"/>
            <w:vAlign w:val="center"/>
            <w:textDirection w:val="lrTb"/>
            <w:noWrap w:val="false"/>
          </w:tcPr>
          <w:p>
            <w:pPr>
              <w:jc w:val="center"/>
              <w:spacing w:after="0" w:line="240" w:lineRule="auto"/>
              <w:rPr>
                <w:rFonts w:hint="default"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31</w:t>
            </w:r>
            <w:r/>
          </w:p>
        </w:tc>
        <w:tc>
          <w:tcPr>
            <w:tcW w:w="3668" w:type="dxa"/>
            <w:vAlign w:val="center"/>
            <w:textDirection w:val="lrTb"/>
            <w:noWrap w:val="false"/>
          </w:tcPr>
          <w:p>
            <w:pPr>
              <w:jc w:val="center"/>
              <w:spacing w:after="0" w:line="240" w:lineRule="auto"/>
              <w:rPr>
                <w:rFonts w:hint="default"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50三分水器</w:t>
            </w:r>
            <w:r/>
          </w:p>
        </w:tc>
        <w:tc>
          <w:tcPr>
            <w:tcW w:w="1993"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个</w:t>
            </w:r>
            <w:r/>
          </w:p>
        </w:tc>
        <w:tc>
          <w:tcPr>
            <w:shd w:val="clear" w:color="auto" w:fill="auto"/>
            <w:tcW w:w="1884" w:type="dxa"/>
            <w:vAlign w:val="center"/>
            <w:textDirection w:val="lrTb"/>
            <w:noWrap w:val="false"/>
          </w:tcPr>
          <w:p>
            <w:pPr>
              <w:jc w:val="center"/>
              <w:keepLines w:val="0"/>
              <w:keepNext w:val="0"/>
              <w:spacing w:after="0" w:line="240" w:lineRule="auto"/>
              <w:widowControl/>
              <w:rPr>
                <w:rFonts w:hint="default" w:ascii="宋体" w:hAnsi="宋体" w:eastAsia="宋体" w:cs="宋体"/>
                <w:b w:val="0"/>
                <w:bCs/>
                <w:color w:val="000000"/>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442" w:hRule="exact"/>
        </w:trPr>
        <w:tc>
          <w:tcPr>
            <w:tcW w:w="780" w:type="dxa"/>
            <w:vAlign w:val="center"/>
            <w:textDirection w:val="lrTb"/>
            <w:noWrap w:val="false"/>
          </w:tcPr>
          <w:p>
            <w:pPr>
              <w:jc w:val="center"/>
              <w:spacing w:after="0" w:line="240" w:lineRule="auto"/>
              <w:rPr>
                <w:rFonts w:hint="default"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32</w:t>
            </w:r>
            <w:r/>
          </w:p>
        </w:tc>
        <w:tc>
          <w:tcPr>
            <w:tcW w:w="3668" w:type="dxa"/>
            <w:vAlign w:val="center"/>
            <w:textDirection w:val="lrTb"/>
            <w:noWrap w:val="false"/>
          </w:tcPr>
          <w:p>
            <w:pPr>
              <w:jc w:val="center"/>
              <w:spacing w:after="0" w:line="240" w:lineRule="auto"/>
              <w:rPr>
                <w:rFonts w:hint="default"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50转换接口</w:t>
            </w:r>
            <w:r/>
          </w:p>
        </w:tc>
        <w:tc>
          <w:tcPr>
            <w:tcW w:w="1993"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个</w:t>
            </w:r>
            <w:r/>
          </w:p>
        </w:tc>
        <w:tc>
          <w:tcPr>
            <w:shd w:val="clear" w:color="auto" w:fill="auto"/>
            <w:tcW w:w="1884" w:type="dxa"/>
            <w:vAlign w:val="center"/>
            <w:textDirection w:val="lrTb"/>
            <w:noWrap w:val="false"/>
          </w:tcPr>
          <w:p>
            <w:pPr>
              <w:jc w:val="center"/>
              <w:keepLines w:val="0"/>
              <w:keepNext w:val="0"/>
              <w:spacing w:after="0" w:line="240" w:lineRule="auto"/>
              <w:widowControl/>
              <w:rPr>
                <w:rFonts w:hint="default" w:ascii="宋体" w:hAnsi="宋体" w:eastAsia="宋体" w:cs="宋体"/>
                <w:b w:val="0"/>
                <w:bCs/>
                <w:color w:val="000000"/>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442" w:hRule="exact"/>
        </w:trPr>
        <w:tc>
          <w:tcPr>
            <w:tcW w:w="780" w:type="dxa"/>
            <w:vAlign w:val="center"/>
            <w:textDirection w:val="lrTb"/>
            <w:noWrap w:val="false"/>
          </w:tcPr>
          <w:p>
            <w:pPr>
              <w:jc w:val="center"/>
              <w:spacing w:after="0" w:line="240" w:lineRule="auto"/>
              <w:rPr>
                <w:rFonts w:hint="default"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33</w:t>
            </w:r>
            <w:r/>
          </w:p>
        </w:tc>
        <w:tc>
          <w:tcPr>
            <w:tcW w:w="3668" w:type="dxa"/>
            <w:vAlign w:val="center"/>
            <w:textDirection w:val="lrTb"/>
            <w:noWrap w:val="false"/>
          </w:tcPr>
          <w:p>
            <w:pPr>
              <w:jc w:val="center"/>
              <w:spacing w:after="0" w:line="240" w:lineRule="auto"/>
              <w:rPr>
                <w:rFonts w:hint="default"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六米拉梯</w:t>
            </w:r>
            <w:r/>
          </w:p>
        </w:tc>
        <w:tc>
          <w:tcPr>
            <w:tcW w:w="1993"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架</w:t>
            </w:r>
            <w:r/>
          </w:p>
        </w:tc>
        <w:tc>
          <w:tcPr>
            <w:shd w:val="clear" w:color="auto" w:fill="auto"/>
            <w:tcW w:w="1884" w:type="dxa"/>
            <w:vAlign w:val="center"/>
            <w:textDirection w:val="lrTb"/>
            <w:noWrap w:val="false"/>
          </w:tcPr>
          <w:p>
            <w:pPr>
              <w:jc w:val="center"/>
              <w:keepLines w:val="0"/>
              <w:keepNext w:val="0"/>
              <w:spacing w:after="0" w:line="240" w:lineRule="auto"/>
              <w:widowControl/>
              <w:rPr>
                <w:rFonts w:hint="default" w:ascii="宋体" w:hAnsi="宋体" w:eastAsia="宋体" w:cs="宋体"/>
                <w:b w:val="0"/>
                <w:bCs/>
                <w:color w:val="000000"/>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442" w:hRule="exact"/>
        </w:trPr>
        <w:tc>
          <w:tcPr>
            <w:tcW w:w="780" w:type="dxa"/>
            <w:vAlign w:val="center"/>
            <w:textDirection w:val="lrTb"/>
            <w:noWrap w:val="false"/>
          </w:tcPr>
          <w:p>
            <w:pPr>
              <w:jc w:val="center"/>
              <w:spacing w:after="0" w:line="240" w:lineRule="auto"/>
              <w:rPr>
                <w:rFonts w:hint="default"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34</w:t>
            </w:r>
            <w:r/>
          </w:p>
        </w:tc>
        <w:tc>
          <w:tcPr>
            <w:tcW w:w="3668"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挂钩梯</w:t>
            </w:r>
            <w:r/>
          </w:p>
        </w:tc>
        <w:tc>
          <w:tcPr>
            <w:tcW w:w="1993"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架</w:t>
            </w:r>
            <w:r/>
          </w:p>
        </w:tc>
        <w:tc>
          <w:tcPr>
            <w:shd w:val="clear" w:color="auto" w:fill="auto"/>
            <w:tcW w:w="1884" w:type="dxa"/>
            <w:vAlign w:val="center"/>
            <w:textDirection w:val="lrTb"/>
            <w:noWrap w:val="false"/>
          </w:tcPr>
          <w:p>
            <w:pPr>
              <w:jc w:val="center"/>
              <w:keepLines w:val="0"/>
              <w:keepNext w:val="0"/>
              <w:spacing w:after="0" w:line="240" w:lineRule="auto"/>
              <w:widowControl/>
              <w:rPr>
                <w:rFonts w:hint="default" w:ascii="宋体" w:hAnsi="宋体" w:eastAsia="宋体" w:cs="宋体"/>
                <w:b w:val="0"/>
                <w:bCs/>
                <w:color w:val="000000"/>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6</w:t>
            </w:r>
            <w:r/>
          </w:p>
        </w:tc>
      </w:tr>
      <w:tr>
        <w:trPr>
          <w:trHeight w:val="442" w:hRule="exact"/>
        </w:trPr>
        <w:tc>
          <w:tcPr>
            <w:tcW w:w="780" w:type="dxa"/>
            <w:vAlign w:val="center"/>
            <w:textDirection w:val="lrTb"/>
            <w:noWrap w:val="false"/>
          </w:tcPr>
          <w:p>
            <w:pPr>
              <w:jc w:val="center"/>
              <w:spacing w:after="0" w:line="240" w:lineRule="auto"/>
              <w:rPr>
                <w:rFonts w:hint="default"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35</w:t>
            </w:r>
            <w:r/>
          </w:p>
        </w:tc>
        <w:tc>
          <w:tcPr>
            <w:tcW w:w="3668"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5G球机</w:t>
            </w:r>
            <w:r/>
          </w:p>
        </w:tc>
        <w:tc>
          <w:tcPr>
            <w:tcW w:w="1993"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台</w:t>
            </w:r>
            <w:r/>
          </w:p>
        </w:tc>
        <w:tc>
          <w:tcPr>
            <w:shd w:val="clear" w:color="auto" w:fill="auto"/>
            <w:tcW w:w="1884" w:type="dxa"/>
            <w:vAlign w:val="center"/>
            <w:textDirection w:val="lrTb"/>
            <w:noWrap w:val="false"/>
          </w:tcPr>
          <w:p>
            <w:pPr>
              <w:jc w:val="center"/>
              <w:keepLines w:val="0"/>
              <w:keepNext w:val="0"/>
              <w:spacing w:after="0" w:line="240" w:lineRule="auto"/>
              <w:widowControl/>
              <w:rPr>
                <w:rFonts w:hint="default" w:ascii="宋体" w:hAnsi="宋体" w:eastAsia="宋体" w:cs="宋体"/>
                <w:b w:val="0"/>
                <w:bCs/>
                <w:color w:val="000000"/>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442" w:hRule="exact"/>
        </w:trPr>
        <w:tc>
          <w:tcPr>
            <w:tcW w:w="780" w:type="dxa"/>
            <w:vAlign w:val="center"/>
            <w:textDirection w:val="lrTb"/>
            <w:noWrap w:val="false"/>
          </w:tcPr>
          <w:p>
            <w:pPr>
              <w:jc w:val="center"/>
              <w:spacing w:after="0" w:line="240" w:lineRule="auto"/>
              <w:rPr>
                <w:rFonts w:hint="default"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36</w:t>
            </w:r>
            <w:r/>
          </w:p>
        </w:tc>
        <w:tc>
          <w:tcPr>
            <w:tcW w:w="3668"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防爆电台</w:t>
            </w:r>
            <w:r/>
          </w:p>
        </w:tc>
        <w:tc>
          <w:tcPr>
            <w:tcW w:w="1993"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台</w:t>
            </w:r>
            <w:r/>
          </w:p>
        </w:tc>
        <w:tc>
          <w:tcPr>
            <w:shd w:val="clear" w:color="auto" w:fill="auto"/>
            <w:tcW w:w="1884" w:type="dxa"/>
            <w:vAlign w:val="center"/>
            <w:textDirection w:val="lrTb"/>
            <w:noWrap w:val="false"/>
          </w:tcPr>
          <w:p>
            <w:pPr>
              <w:jc w:val="center"/>
              <w:keepLines w:val="0"/>
              <w:keepNext w:val="0"/>
              <w:spacing w:after="0" w:line="240" w:lineRule="auto"/>
              <w:widowControl/>
              <w:rPr>
                <w:rFonts w:hint="default" w:ascii="宋体" w:hAnsi="宋体" w:eastAsia="宋体" w:cs="宋体"/>
                <w:b w:val="0"/>
                <w:bCs/>
                <w:color w:val="000000"/>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10</w:t>
            </w:r>
            <w:r/>
          </w:p>
        </w:tc>
      </w:tr>
      <w:tr>
        <w:trPr>
          <w:trHeight w:val="442" w:hRule="exact"/>
        </w:trPr>
        <w:tc>
          <w:tcPr>
            <w:tcW w:w="780" w:type="dxa"/>
            <w:vAlign w:val="center"/>
            <w:textDirection w:val="lrTb"/>
            <w:noWrap w:val="false"/>
          </w:tcPr>
          <w:p>
            <w:pPr>
              <w:jc w:val="center"/>
              <w:spacing w:after="0" w:line="240" w:lineRule="auto"/>
              <w:rPr>
                <w:rFonts w:hint="default"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37</w:t>
            </w:r>
            <w:r/>
          </w:p>
        </w:tc>
        <w:tc>
          <w:tcPr>
            <w:tcW w:w="3668"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折叠担架</w:t>
            </w:r>
            <w:r/>
          </w:p>
        </w:tc>
        <w:tc>
          <w:tcPr>
            <w:tcW w:w="1993"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个</w:t>
            </w:r>
            <w:r/>
          </w:p>
        </w:tc>
        <w:tc>
          <w:tcPr>
            <w:shd w:val="clear" w:color="auto" w:fill="auto"/>
            <w:tcW w:w="1884" w:type="dxa"/>
            <w:vAlign w:val="center"/>
            <w:textDirection w:val="lrTb"/>
            <w:noWrap w:val="false"/>
          </w:tcPr>
          <w:p>
            <w:pPr>
              <w:jc w:val="center"/>
              <w:keepLines w:val="0"/>
              <w:keepNext w:val="0"/>
              <w:spacing w:after="0" w:line="240" w:lineRule="auto"/>
              <w:widowControl/>
              <w:rPr>
                <w:rFonts w:hint="default" w:ascii="宋体" w:hAnsi="宋体" w:eastAsia="宋体" w:cs="宋体"/>
                <w:b w:val="0"/>
                <w:bCs/>
                <w:color w:val="000000"/>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442" w:hRule="exact"/>
        </w:trPr>
        <w:tc>
          <w:tcPr>
            <w:tcW w:w="780" w:type="dxa"/>
            <w:vAlign w:val="center"/>
            <w:textDirection w:val="lrTb"/>
            <w:noWrap w:val="false"/>
          </w:tcPr>
          <w:p>
            <w:pPr>
              <w:jc w:val="center"/>
              <w:spacing w:after="0" w:line="240" w:lineRule="auto"/>
              <w:rPr>
                <w:rFonts w:hint="default"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38</w:t>
            </w:r>
            <w:r/>
          </w:p>
        </w:tc>
        <w:tc>
          <w:tcPr>
            <w:tcW w:w="3668"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伤员固定抬板</w:t>
            </w:r>
            <w:r/>
          </w:p>
        </w:tc>
        <w:tc>
          <w:tcPr>
            <w:tcW w:w="1993"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个</w:t>
            </w:r>
            <w:r/>
          </w:p>
        </w:tc>
        <w:tc>
          <w:tcPr>
            <w:shd w:val="clear" w:color="auto" w:fill="auto"/>
            <w:tcW w:w="1884" w:type="dxa"/>
            <w:vAlign w:val="center"/>
            <w:textDirection w:val="lrTb"/>
            <w:noWrap w:val="false"/>
          </w:tcPr>
          <w:p>
            <w:pPr>
              <w:jc w:val="center"/>
              <w:keepLines w:val="0"/>
              <w:keepNext w:val="0"/>
              <w:spacing w:after="0" w:line="240" w:lineRule="auto"/>
              <w:widowControl/>
              <w:rPr>
                <w:rFonts w:hint="default" w:ascii="宋体" w:hAnsi="宋体" w:eastAsia="宋体" w:cs="宋体"/>
                <w:b w:val="0"/>
                <w:bCs/>
                <w:color w:val="000000"/>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442" w:hRule="exact"/>
        </w:trPr>
        <w:tc>
          <w:tcPr>
            <w:tcW w:w="780" w:type="dxa"/>
            <w:vAlign w:val="center"/>
            <w:textDirection w:val="lrTb"/>
            <w:noWrap w:val="false"/>
          </w:tcPr>
          <w:p>
            <w:pPr>
              <w:jc w:val="center"/>
              <w:spacing w:after="0" w:line="240" w:lineRule="auto"/>
              <w:rPr>
                <w:rFonts w:hint="default"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39</w:t>
            </w:r>
            <w:r/>
          </w:p>
        </w:tc>
        <w:tc>
          <w:tcPr>
            <w:tcW w:w="3668"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扁带</w:t>
            </w:r>
            <w:r/>
          </w:p>
        </w:tc>
        <w:tc>
          <w:tcPr>
            <w:tcW w:w="1993"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根</w:t>
            </w:r>
            <w:r/>
          </w:p>
        </w:tc>
        <w:tc>
          <w:tcPr>
            <w:shd w:val="clear" w:color="auto" w:fill="auto"/>
            <w:tcW w:w="1884" w:type="dxa"/>
            <w:vAlign w:val="center"/>
            <w:textDirection w:val="lrTb"/>
            <w:noWrap w:val="false"/>
          </w:tcPr>
          <w:p>
            <w:pPr>
              <w:jc w:val="center"/>
              <w:keepLines w:val="0"/>
              <w:keepNext w:val="0"/>
              <w:spacing w:after="0" w:line="240" w:lineRule="auto"/>
              <w:widowControl/>
              <w:rPr>
                <w:rFonts w:hint="default" w:ascii="宋体" w:hAnsi="宋体" w:eastAsia="宋体" w:cs="宋体"/>
                <w:b w:val="0"/>
                <w:bCs/>
                <w:color w:val="000000"/>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20</w:t>
            </w:r>
            <w:r/>
          </w:p>
        </w:tc>
      </w:tr>
      <w:tr>
        <w:trPr>
          <w:trHeight w:val="442" w:hRule="exact"/>
        </w:trPr>
        <w:tc>
          <w:tcPr>
            <w:tcW w:w="780" w:type="dxa"/>
            <w:vAlign w:val="center"/>
            <w:textDirection w:val="lrTb"/>
            <w:noWrap w:val="false"/>
          </w:tcPr>
          <w:p>
            <w:pPr>
              <w:jc w:val="center"/>
              <w:spacing w:after="0" w:line="240" w:lineRule="auto"/>
              <w:rPr>
                <w:rFonts w:hint="default"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40</w:t>
            </w:r>
            <w:r/>
          </w:p>
        </w:tc>
        <w:tc>
          <w:tcPr>
            <w:tcW w:w="3668"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抢险救援头盔灯</w:t>
            </w:r>
            <w:r/>
          </w:p>
        </w:tc>
        <w:tc>
          <w:tcPr>
            <w:tcW w:w="1993"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个</w:t>
            </w:r>
            <w:r/>
          </w:p>
        </w:tc>
        <w:tc>
          <w:tcPr>
            <w:shd w:val="clear" w:color="auto" w:fill="auto"/>
            <w:tcW w:w="1884" w:type="dxa"/>
            <w:vAlign w:val="center"/>
            <w:textDirection w:val="lrTb"/>
            <w:noWrap w:val="false"/>
          </w:tcPr>
          <w:p>
            <w:pPr>
              <w:jc w:val="center"/>
              <w:keepLines w:val="0"/>
              <w:keepNext w:val="0"/>
              <w:spacing w:after="0" w:line="240" w:lineRule="auto"/>
              <w:widowControl/>
              <w:rPr>
                <w:rFonts w:hint="default" w:ascii="宋体" w:hAnsi="宋体" w:eastAsia="宋体" w:cs="宋体"/>
                <w:b w:val="0"/>
                <w:bCs/>
                <w:color w:val="000000"/>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15</w:t>
            </w:r>
            <w:r/>
          </w:p>
        </w:tc>
      </w:tr>
      <w:tr>
        <w:trPr>
          <w:trHeight w:val="442" w:hRule="exact"/>
        </w:trPr>
        <w:tc>
          <w:tcPr>
            <w:tcW w:w="780" w:type="dxa"/>
            <w:vAlign w:val="center"/>
            <w:textDirection w:val="lrTb"/>
            <w:noWrap w:val="false"/>
          </w:tcPr>
          <w:p>
            <w:pPr>
              <w:jc w:val="center"/>
              <w:spacing w:after="0" w:line="240" w:lineRule="auto"/>
              <w:rPr>
                <w:rFonts w:hint="default"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41</w:t>
            </w:r>
            <w:r/>
          </w:p>
        </w:tc>
        <w:tc>
          <w:tcPr>
            <w:tcW w:w="3668"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消火栓扳手</w:t>
            </w:r>
            <w:r/>
          </w:p>
        </w:tc>
        <w:tc>
          <w:tcPr>
            <w:tcW w:w="1993"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个</w:t>
            </w:r>
            <w:r/>
          </w:p>
        </w:tc>
        <w:tc>
          <w:tcPr>
            <w:shd w:val="clear" w:color="auto" w:fill="auto"/>
            <w:tcW w:w="1884" w:type="dxa"/>
            <w:vAlign w:val="center"/>
            <w:textDirection w:val="lrTb"/>
            <w:noWrap w:val="false"/>
          </w:tcPr>
          <w:p>
            <w:pPr>
              <w:jc w:val="center"/>
              <w:keepLines w:val="0"/>
              <w:keepNext w:val="0"/>
              <w:spacing w:after="0" w:line="240" w:lineRule="auto"/>
              <w:widowControl/>
              <w:rPr>
                <w:rFonts w:hint="default" w:ascii="宋体" w:hAnsi="宋体" w:eastAsia="宋体" w:cs="宋体"/>
                <w:b w:val="0"/>
                <w:bCs/>
                <w:color w:val="000000"/>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442" w:hRule="exact"/>
        </w:trPr>
        <w:tc>
          <w:tcPr>
            <w:tcW w:w="780" w:type="dxa"/>
            <w:vAlign w:val="center"/>
            <w:textDirection w:val="lrTb"/>
            <w:noWrap w:val="false"/>
          </w:tcPr>
          <w:p>
            <w:pPr>
              <w:jc w:val="center"/>
              <w:spacing w:after="0" w:line="240" w:lineRule="auto"/>
              <w:rPr>
                <w:rFonts w:hint="default"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42</w:t>
            </w:r>
            <w:r/>
          </w:p>
        </w:tc>
        <w:tc>
          <w:tcPr>
            <w:tcW w:w="3668"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丁字镐</w:t>
            </w:r>
            <w:r/>
          </w:p>
        </w:tc>
        <w:tc>
          <w:tcPr>
            <w:tcW w:w="1993"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个</w:t>
            </w:r>
            <w:r/>
          </w:p>
        </w:tc>
        <w:tc>
          <w:tcPr>
            <w:shd w:val="clear" w:color="auto" w:fill="auto"/>
            <w:tcW w:w="1884" w:type="dxa"/>
            <w:vAlign w:val="center"/>
            <w:textDirection w:val="lrTb"/>
            <w:noWrap w:val="false"/>
          </w:tcPr>
          <w:p>
            <w:pPr>
              <w:jc w:val="center"/>
              <w:keepLines w:val="0"/>
              <w:keepNext w:val="0"/>
              <w:spacing w:after="0" w:line="240" w:lineRule="auto"/>
              <w:widowControl/>
              <w:rPr>
                <w:rFonts w:hint="default" w:ascii="宋体" w:hAnsi="宋体" w:eastAsia="宋体" w:cs="宋体"/>
                <w:b w:val="0"/>
                <w:bCs/>
                <w:color w:val="000000"/>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442" w:hRule="exact"/>
        </w:trPr>
        <w:tc>
          <w:tcPr>
            <w:tcW w:w="780" w:type="dxa"/>
            <w:vAlign w:val="center"/>
            <w:textDirection w:val="lrTb"/>
            <w:noWrap w:val="false"/>
          </w:tcPr>
          <w:p>
            <w:pPr>
              <w:jc w:val="center"/>
              <w:spacing w:after="0" w:line="240" w:lineRule="auto"/>
              <w:rPr>
                <w:rFonts w:hint="default"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43</w:t>
            </w:r>
            <w:r/>
          </w:p>
        </w:tc>
        <w:tc>
          <w:tcPr>
            <w:tcW w:w="3668"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捕蛇夹</w:t>
            </w:r>
            <w:r/>
          </w:p>
        </w:tc>
        <w:tc>
          <w:tcPr>
            <w:tcW w:w="1993"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个</w:t>
            </w:r>
            <w:r/>
          </w:p>
        </w:tc>
        <w:tc>
          <w:tcPr>
            <w:shd w:val="clear" w:color="auto" w:fill="auto"/>
            <w:tcW w:w="1884" w:type="dxa"/>
            <w:vAlign w:val="center"/>
            <w:textDirection w:val="lrTb"/>
            <w:noWrap w:val="false"/>
          </w:tcPr>
          <w:p>
            <w:pPr>
              <w:jc w:val="center"/>
              <w:keepLines w:val="0"/>
              <w:keepNext w:val="0"/>
              <w:spacing w:after="0" w:line="240" w:lineRule="auto"/>
              <w:widowControl/>
              <w:rPr>
                <w:rFonts w:hint="default" w:ascii="宋体" w:hAnsi="宋体" w:eastAsia="宋体" w:cs="宋体"/>
                <w:b w:val="0"/>
                <w:bCs/>
                <w:color w:val="000000"/>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442" w:hRule="exact"/>
        </w:trPr>
        <w:tc>
          <w:tcPr>
            <w:tcW w:w="780" w:type="dxa"/>
            <w:vAlign w:val="center"/>
            <w:textDirection w:val="lrTb"/>
            <w:noWrap w:val="false"/>
          </w:tcPr>
          <w:p>
            <w:pPr>
              <w:jc w:val="center"/>
              <w:spacing w:after="0" w:line="240" w:lineRule="auto"/>
              <w:rPr>
                <w:rFonts w:hint="default"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44</w:t>
            </w:r>
            <w:r/>
          </w:p>
        </w:tc>
        <w:tc>
          <w:tcPr>
            <w:tcW w:w="3668"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比武灭火靴</w:t>
            </w:r>
            <w:r/>
          </w:p>
        </w:tc>
        <w:tc>
          <w:tcPr>
            <w:tcW w:w="1993"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双</w:t>
            </w:r>
            <w:r/>
          </w:p>
        </w:tc>
        <w:tc>
          <w:tcPr>
            <w:shd w:val="clear" w:color="auto" w:fill="auto"/>
            <w:tcW w:w="1884" w:type="dxa"/>
            <w:vAlign w:val="center"/>
            <w:textDirection w:val="lrTb"/>
            <w:noWrap w:val="false"/>
          </w:tcPr>
          <w:p>
            <w:pPr>
              <w:jc w:val="center"/>
              <w:keepLines w:val="0"/>
              <w:keepNext w:val="0"/>
              <w:spacing w:after="0" w:line="240" w:lineRule="auto"/>
              <w:widowControl/>
              <w:rPr>
                <w:rFonts w:hint="default" w:ascii="宋体" w:hAnsi="宋体" w:eastAsia="宋体" w:cs="宋体"/>
                <w:b w:val="0"/>
                <w:bCs/>
                <w:color w:val="000000"/>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10</w:t>
            </w:r>
            <w:r/>
          </w:p>
        </w:tc>
      </w:tr>
      <w:tr>
        <w:trPr>
          <w:trHeight w:val="442" w:hRule="exact"/>
        </w:trPr>
        <w:tc>
          <w:tcPr>
            <w:tcW w:w="780" w:type="dxa"/>
            <w:vAlign w:val="center"/>
            <w:textDirection w:val="lrTb"/>
            <w:noWrap w:val="false"/>
          </w:tcPr>
          <w:p>
            <w:pPr>
              <w:jc w:val="center"/>
              <w:spacing w:after="0" w:line="240" w:lineRule="auto"/>
              <w:rPr>
                <w:rFonts w:hint="default"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45</w:t>
            </w:r>
            <w:r/>
          </w:p>
        </w:tc>
        <w:tc>
          <w:tcPr>
            <w:tcW w:w="3668"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冬季抢险救援服</w:t>
            </w:r>
            <w:r/>
          </w:p>
        </w:tc>
        <w:tc>
          <w:tcPr>
            <w:tcW w:w="1993"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套</w:t>
            </w:r>
            <w:r/>
          </w:p>
        </w:tc>
        <w:tc>
          <w:tcPr>
            <w:shd w:val="clear" w:color="auto" w:fill="auto"/>
            <w:tcW w:w="1884" w:type="dxa"/>
            <w:vAlign w:val="center"/>
            <w:textDirection w:val="lrTb"/>
            <w:noWrap w:val="false"/>
          </w:tcPr>
          <w:p>
            <w:pPr>
              <w:jc w:val="center"/>
              <w:keepLines w:val="0"/>
              <w:keepNext w:val="0"/>
              <w:spacing w:after="0" w:line="240" w:lineRule="auto"/>
              <w:widowControl/>
              <w:rPr>
                <w:rFonts w:hint="default" w:ascii="宋体" w:hAnsi="宋体" w:eastAsia="宋体" w:cs="宋体"/>
                <w:b w:val="0"/>
                <w:bCs/>
                <w:color w:val="000000"/>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15</w:t>
            </w:r>
            <w:r/>
          </w:p>
        </w:tc>
      </w:tr>
      <w:tr>
        <w:trPr>
          <w:trHeight w:val="442" w:hRule="exact"/>
        </w:trPr>
        <w:tc>
          <w:tcPr>
            <w:tcW w:w="780" w:type="dxa"/>
            <w:vAlign w:val="center"/>
            <w:textDirection w:val="lrTb"/>
            <w:noWrap w:val="false"/>
          </w:tcPr>
          <w:p>
            <w:pPr>
              <w:jc w:val="center"/>
              <w:spacing w:after="0" w:line="240" w:lineRule="auto"/>
              <w:rPr>
                <w:rFonts w:hint="default"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46</w:t>
            </w:r>
            <w:r/>
          </w:p>
        </w:tc>
        <w:tc>
          <w:tcPr>
            <w:tcW w:w="3668"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抢险救援速干衣</w:t>
            </w:r>
            <w:r/>
          </w:p>
        </w:tc>
        <w:tc>
          <w:tcPr>
            <w:tcW w:w="1993"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套</w:t>
            </w:r>
            <w:r/>
          </w:p>
        </w:tc>
        <w:tc>
          <w:tcPr>
            <w:shd w:val="clear" w:color="auto" w:fill="auto"/>
            <w:tcW w:w="1884" w:type="dxa"/>
            <w:vAlign w:val="center"/>
            <w:textDirection w:val="lrTb"/>
            <w:noWrap w:val="false"/>
          </w:tcPr>
          <w:p>
            <w:pPr>
              <w:jc w:val="center"/>
              <w:keepLines w:val="0"/>
              <w:keepNext w:val="0"/>
              <w:spacing w:after="0" w:line="240" w:lineRule="auto"/>
              <w:widowControl/>
              <w:rPr>
                <w:rFonts w:hint="default" w:ascii="宋体" w:hAnsi="宋体" w:eastAsia="宋体" w:cs="宋体"/>
                <w:b w:val="0"/>
                <w:bCs/>
                <w:color w:val="000000"/>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10</w:t>
            </w:r>
            <w:r/>
          </w:p>
        </w:tc>
      </w:tr>
      <w:tr>
        <w:trPr>
          <w:trHeight w:val="442" w:hRule="exact"/>
        </w:trPr>
        <w:tc>
          <w:tcPr>
            <w:tcW w:w="780" w:type="dxa"/>
            <w:vAlign w:val="center"/>
            <w:textDirection w:val="lrTb"/>
            <w:noWrap w:val="false"/>
          </w:tcPr>
          <w:p>
            <w:pPr>
              <w:jc w:val="center"/>
              <w:spacing w:after="0" w:line="240" w:lineRule="auto"/>
              <w:rPr>
                <w:rFonts w:hint="default"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47</w:t>
            </w:r>
            <w:r/>
          </w:p>
        </w:tc>
        <w:tc>
          <w:tcPr>
            <w:tcW w:w="3668"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泡沫</w:t>
            </w:r>
            <w:r/>
          </w:p>
        </w:tc>
        <w:tc>
          <w:tcPr>
            <w:tcW w:w="1993"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吨</w:t>
            </w:r>
            <w:r/>
          </w:p>
        </w:tc>
        <w:tc>
          <w:tcPr>
            <w:shd w:val="clear" w:color="auto" w:fill="auto"/>
            <w:tcW w:w="1884" w:type="dxa"/>
            <w:vAlign w:val="center"/>
            <w:textDirection w:val="lrTb"/>
            <w:noWrap w:val="false"/>
          </w:tcPr>
          <w:p>
            <w:pPr>
              <w:jc w:val="center"/>
              <w:keepLines w:val="0"/>
              <w:keepNext w:val="0"/>
              <w:spacing w:after="0" w:line="240" w:lineRule="auto"/>
              <w:widowControl/>
              <w:rPr>
                <w:rFonts w:hint="default" w:ascii="宋体" w:hAnsi="宋体" w:eastAsia="宋体" w:cs="宋体"/>
                <w:b w:val="0"/>
                <w:bCs/>
                <w:color w:val="000000"/>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5</w:t>
            </w:r>
            <w:r/>
          </w:p>
        </w:tc>
      </w:tr>
      <w:tr>
        <w:trPr>
          <w:trHeight w:val="442" w:hRule="exact"/>
        </w:trPr>
        <w:tc>
          <w:tcPr>
            <w:tcW w:w="780" w:type="dxa"/>
            <w:vAlign w:val="center"/>
            <w:textDirection w:val="lrTb"/>
            <w:noWrap w:val="false"/>
          </w:tcPr>
          <w:p>
            <w:pPr>
              <w:jc w:val="center"/>
              <w:spacing w:after="0" w:line="240" w:lineRule="auto"/>
              <w:rPr>
                <w:rFonts w:hint="default"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48</w:t>
            </w:r>
            <w:r/>
          </w:p>
        </w:tc>
        <w:tc>
          <w:tcPr>
            <w:tcW w:w="3668"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救生衣</w:t>
            </w:r>
            <w:r/>
          </w:p>
        </w:tc>
        <w:tc>
          <w:tcPr>
            <w:tcW w:w="1993"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件</w:t>
            </w:r>
            <w:r/>
          </w:p>
        </w:tc>
        <w:tc>
          <w:tcPr>
            <w:shd w:val="clear" w:color="auto" w:fill="auto"/>
            <w:tcW w:w="1884" w:type="dxa"/>
            <w:vAlign w:val="center"/>
            <w:textDirection w:val="lrTb"/>
            <w:noWrap w:val="false"/>
          </w:tcPr>
          <w:p>
            <w:pPr>
              <w:jc w:val="center"/>
              <w:keepLines w:val="0"/>
              <w:keepNext w:val="0"/>
              <w:spacing w:after="0" w:line="240" w:lineRule="auto"/>
              <w:widowControl/>
              <w:rPr>
                <w:rFonts w:hint="default" w:ascii="宋体" w:hAnsi="宋体" w:eastAsia="宋体" w:cs="宋体"/>
                <w:b w:val="0"/>
                <w:bCs/>
                <w:color w:val="000000"/>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20</w:t>
            </w:r>
            <w:r/>
          </w:p>
        </w:tc>
      </w:tr>
      <w:tr>
        <w:trPr>
          <w:trHeight w:val="442" w:hRule="exact"/>
        </w:trPr>
        <w:tc>
          <w:tcPr>
            <w:tcW w:w="780" w:type="dxa"/>
            <w:vAlign w:val="center"/>
            <w:textDirection w:val="lrTb"/>
            <w:noWrap w:val="false"/>
          </w:tcPr>
          <w:p>
            <w:pPr>
              <w:jc w:val="center"/>
              <w:spacing w:after="0" w:line="240" w:lineRule="auto"/>
              <w:rPr>
                <w:rFonts w:hint="default"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49</w:t>
            </w:r>
            <w:r/>
          </w:p>
        </w:tc>
        <w:tc>
          <w:tcPr>
            <w:tcW w:w="3668"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湿式救援服</w:t>
            </w:r>
            <w:r/>
          </w:p>
        </w:tc>
        <w:tc>
          <w:tcPr>
            <w:tcW w:w="1993"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件</w:t>
            </w:r>
            <w:r/>
          </w:p>
        </w:tc>
        <w:tc>
          <w:tcPr>
            <w:shd w:val="clear" w:color="auto" w:fill="auto"/>
            <w:tcW w:w="1884" w:type="dxa"/>
            <w:vAlign w:val="center"/>
            <w:textDirection w:val="lrTb"/>
            <w:noWrap w:val="false"/>
          </w:tcPr>
          <w:p>
            <w:pPr>
              <w:jc w:val="center"/>
              <w:keepLines w:val="0"/>
              <w:keepNext w:val="0"/>
              <w:spacing w:after="0" w:line="240" w:lineRule="auto"/>
              <w:widowControl/>
              <w:rPr>
                <w:rFonts w:hint="default" w:ascii="宋体" w:hAnsi="宋体" w:eastAsia="宋体" w:cs="宋体"/>
                <w:b w:val="0"/>
                <w:bCs/>
                <w:color w:val="000000"/>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20</w:t>
            </w:r>
            <w:r/>
          </w:p>
        </w:tc>
      </w:tr>
      <w:tr>
        <w:trPr>
          <w:trHeight w:val="442" w:hRule="exact"/>
        </w:trPr>
        <w:tc>
          <w:tcPr>
            <w:tcW w:w="780" w:type="dxa"/>
            <w:vAlign w:val="center"/>
            <w:textDirection w:val="lrTb"/>
            <w:noWrap w:val="false"/>
          </w:tcPr>
          <w:p>
            <w:pPr>
              <w:jc w:val="center"/>
              <w:spacing w:after="0" w:line="240" w:lineRule="auto"/>
              <w:rPr>
                <w:rFonts w:hint="default"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50</w:t>
            </w:r>
            <w:r/>
          </w:p>
        </w:tc>
        <w:tc>
          <w:tcPr>
            <w:tcW w:w="3668"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牵引绳</w:t>
            </w:r>
            <w:r/>
          </w:p>
        </w:tc>
        <w:tc>
          <w:tcPr>
            <w:tcW w:w="1993"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根</w:t>
            </w:r>
            <w:r/>
          </w:p>
        </w:tc>
        <w:tc>
          <w:tcPr>
            <w:shd w:val="clear" w:color="auto" w:fill="auto"/>
            <w:tcW w:w="1884" w:type="dxa"/>
            <w:vAlign w:val="center"/>
            <w:textDirection w:val="lrTb"/>
            <w:noWrap w:val="false"/>
          </w:tcPr>
          <w:p>
            <w:pPr>
              <w:jc w:val="center"/>
              <w:keepLines w:val="0"/>
              <w:keepNext w:val="0"/>
              <w:spacing w:after="0" w:line="240" w:lineRule="auto"/>
              <w:widowControl/>
              <w:rPr>
                <w:rFonts w:hint="default" w:ascii="宋体" w:hAnsi="宋体" w:eastAsia="宋体" w:cs="宋体"/>
                <w:b w:val="0"/>
                <w:bCs/>
                <w:color w:val="000000"/>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20</w:t>
            </w:r>
            <w:r/>
          </w:p>
        </w:tc>
      </w:tr>
      <w:tr>
        <w:trPr>
          <w:trHeight w:val="442" w:hRule="exact"/>
        </w:trPr>
        <w:tc>
          <w:tcPr>
            <w:tcW w:w="780" w:type="dxa"/>
            <w:vAlign w:val="center"/>
            <w:textDirection w:val="lrTb"/>
            <w:noWrap w:val="false"/>
          </w:tcPr>
          <w:p>
            <w:pPr>
              <w:jc w:val="center"/>
              <w:spacing w:after="0" w:line="240" w:lineRule="auto"/>
              <w:rPr>
                <w:rFonts w:hint="default"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51</w:t>
            </w:r>
            <w:r/>
          </w:p>
        </w:tc>
        <w:tc>
          <w:tcPr>
            <w:tcW w:w="3668"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隔热防护服</w:t>
            </w:r>
            <w:r/>
          </w:p>
        </w:tc>
        <w:tc>
          <w:tcPr>
            <w:tcW w:w="1993"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套</w:t>
            </w:r>
            <w:r/>
          </w:p>
        </w:tc>
        <w:tc>
          <w:tcPr>
            <w:shd w:val="clear" w:color="auto" w:fill="auto"/>
            <w:tcW w:w="1884" w:type="dxa"/>
            <w:vAlign w:val="center"/>
            <w:textDirection w:val="lrTb"/>
            <w:noWrap w:val="false"/>
          </w:tcPr>
          <w:p>
            <w:pPr>
              <w:jc w:val="center"/>
              <w:keepLines w:val="0"/>
              <w:keepNext w:val="0"/>
              <w:spacing w:after="0" w:line="240" w:lineRule="auto"/>
              <w:widowControl/>
              <w:rPr>
                <w:rFonts w:hint="default" w:ascii="宋体" w:hAnsi="宋体" w:eastAsia="宋体" w:cs="宋体"/>
                <w:b w:val="0"/>
                <w:bCs/>
                <w:color w:val="000000"/>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442" w:hRule="exact"/>
        </w:trPr>
        <w:tc>
          <w:tcPr>
            <w:tcW w:w="780" w:type="dxa"/>
            <w:vAlign w:val="center"/>
            <w:textDirection w:val="lrTb"/>
            <w:noWrap w:val="false"/>
          </w:tcPr>
          <w:p>
            <w:pPr>
              <w:jc w:val="center"/>
              <w:spacing w:after="0" w:line="240" w:lineRule="auto"/>
              <w:rPr>
                <w:rFonts w:hint="default"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52</w:t>
            </w:r>
            <w:r/>
          </w:p>
        </w:tc>
        <w:tc>
          <w:tcPr>
            <w:tcW w:w="3668"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一级化学防护服</w:t>
            </w:r>
            <w:r/>
          </w:p>
        </w:tc>
        <w:tc>
          <w:tcPr>
            <w:tcW w:w="1993"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套</w:t>
            </w:r>
            <w:r/>
          </w:p>
        </w:tc>
        <w:tc>
          <w:tcPr>
            <w:shd w:val="clear" w:color="auto" w:fill="auto"/>
            <w:tcW w:w="1884" w:type="dxa"/>
            <w:vAlign w:val="center"/>
            <w:textDirection w:val="lrTb"/>
            <w:noWrap w:val="false"/>
          </w:tcPr>
          <w:p>
            <w:pPr>
              <w:jc w:val="center"/>
              <w:keepLines w:val="0"/>
              <w:keepNext w:val="0"/>
              <w:spacing w:after="0" w:line="240" w:lineRule="auto"/>
              <w:widowControl/>
              <w:rPr>
                <w:rFonts w:hint="default" w:ascii="宋体" w:hAnsi="宋体" w:eastAsia="宋体" w:cs="宋体"/>
                <w:b w:val="0"/>
                <w:bCs/>
                <w:color w:val="000000"/>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442" w:hRule="exact"/>
        </w:trPr>
        <w:tc>
          <w:tcPr>
            <w:tcW w:w="780" w:type="dxa"/>
            <w:vAlign w:val="center"/>
            <w:textDirection w:val="lrTb"/>
            <w:noWrap w:val="false"/>
          </w:tcPr>
          <w:p>
            <w:pPr>
              <w:jc w:val="center"/>
              <w:spacing w:after="0" w:line="240" w:lineRule="auto"/>
              <w:rPr>
                <w:rFonts w:hint="default"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53</w:t>
            </w:r>
            <w:r/>
          </w:p>
        </w:tc>
        <w:tc>
          <w:tcPr>
            <w:tcW w:w="3668"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电绝缘装具</w:t>
            </w:r>
            <w:r/>
          </w:p>
        </w:tc>
        <w:tc>
          <w:tcPr>
            <w:tcW w:w="1993"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套</w:t>
            </w:r>
            <w:r/>
          </w:p>
        </w:tc>
        <w:tc>
          <w:tcPr>
            <w:shd w:val="clear" w:color="auto" w:fill="auto"/>
            <w:tcW w:w="1884" w:type="dxa"/>
            <w:vAlign w:val="center"/>
            <w:textDirection w:val="lrTb"/>
            <w:noWrap w:val="false"/>
          </w:tcPr>
          <w:p>
            <w:pPr>
              <w:jc w:val="center"/>
              <w:keepLines w:val="0"/>
              <w:keepNext w:val="0"/>
              <w:spacing w:after="0" w:line="240" w:lineRule="auto"/>
              <w:widowControl/>
              <w:rPr>
                <w:rFonts w:hint="default" w:ascii="宋体" w:hAnsi="宋体" w:eastAsia="宋体" w:cs="宋体"/>
                <w:b w:val="0"/>
                <w:bCs/>
                <w:color w:val="000000"/>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442" w:hRule="exact"/>
        </w:trPr>
        <w:tc>
          <w:tcPr>
            <w:tcW w:w="780" w:type="dxa"/>
            <w:vAlign w:val="center"/>
            <w:textDirection w:val="lrTb"/>
            <w:noWrap w:val="false"/>
          </w:tcPr>
          <w:p>
            <w:pPr>
              <w:jc w:val="center"/>
              <w:spacing w:after="0" w:line="240" w:lineRule="auto"/>
              <w:rPr>
                <w:rFonts w:hint="default"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54</w:t>
            </w:r>
            <w:r/>
          </w:p>
        </w:tc>
        <w:tc>
          <w:tcPr>
            <w:tcW w:w="3668"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内置纯棉手套</w:t>
            </w:r>
            <w:r/>
          </w:p>
        </w:tc>
        <w:tc>
          <w:tcPr>
            <w:tcW w:w="1993"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副</w:t>
            </w:r>
            <w:r/>
          </w:p>
        </w:tc>
        <w:tc>
          <w:tcPr>
            <w:shd w:val="clear" w:color="auto" w:fill="auto"/>
            <w:tcW w:w="1884" w:type="dxa"/>
            <w:vAlign w:val="center"/>
            <w:textDirection w:val="lrTb"/>
            <w:noWrap w:val="false"/>
          </w:tcPr>
          <w:p>
            <w:pPr>
              <w:jc w:val="center"/>
              <w:keepLines w:val="0"/>
              <w:keepNext w:val="0"/>
              <w:spacing w:after="0" w:line="240" w:lineRule="auto"/>
              <w:widowControl/>
              <w:rPr>
                <w:rFonts w:hint="default" w:ascii="宋体" w:hAnsi="宋体" w:eastAsia="宋体" w:cs="宋体"/>
                <w:b w:val="0"/>
                <w:bCs/>
                <w:color w:val="000000"/>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18</w:t>
            </w:r>
            <w:r/>
          </w:p>
        </w:tc>
      </w:tr>
      <w:tr>
        <w:trPr>
          <w:trHeight w:val="442" w:hRule="exact"/>
        </w:trPr>
        <w:tc>
          <w:tcPr>
            <w:tcW w:w="780" w:type="dxa"/>
            <w:vAlign w:val="center"/>
            <w:textDirection w:val="lrTb"/>
            <w:noWrap w:val="false"/>
          </w:tcPr>
          <w:p>
            <w:pPr>
              <w:jc w:val="center"/>
              <w:spacing w:after="0" w:line="240" w:lineRule="auto"/>
              <w:rPr>
                <w:rFonts w:hint="default"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55</w:t>
            </w:r>
            <w:r/>
          </w:p>
        </w:tc>
        <w:tc>
          <w:tcPr>
            <w:tcW w:w="3668"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消防阻燃毛衣</w:t>
            </w:r>
            <w:r/>
          </w:p>
        </w:tc>
        <w:tc>
          <w:tcPr>
            <w:tcW w:w="1993"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件</w:t>
            </w:r>
            <w:r/>
          </w:p>
        </w:tc>
        <w:tc>
          <w:tcPr>
            <w:shd w:val="clear" w:color="auto" w:fill="auto"/>
            <w:tcW w:w="1884" w:type="dxa"/>
            <w:vAlign w:val="center"/>
            <w:textDirection w:val="lrTb"/>
            <w:noWrap w:val="false"/>
          </w:tcPr>
          <w:p>
            <w:pPr>
              <w:jc w:val="center"/>
              <w:keepLines w:val="0"/>
              <w:keepNext w:val="0"/>
              <w:spacing w:after="0" w:line="240" w:lineRule="auto"/>
              <w:widowControl/>
              <w:rPr>
                <w:rFonts w:hint="default" w:ascii="宋体" w:hAnsi="宋体" w:eastAsia="宋体" w:cs="宋体"/>
                <w:b w:val="0"/>
                <w:bCs/>
                <w:color w:val="000000"/>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10</w:t>
            </w:r>
            <w:r/>
          </w:p>
        </w:tc>
      </w:tr>
      <w:tr>
        <w:trPr>
          <w:trHeight w:val="442" w:hRule="exact"/>
        </w:trPr>
        <w:tc>
          <w:tcPr>
            <w:tcW w:w="780" w:type="dxa"/>
            <w:vAlign w:val="center"/>
            <w:textDirection w:val="lrTb"/>
            <w:noWrap w:val="false"/>
          </w:tcPr>
          <w:p>
            <w:pPr>
              <w:jc w:val="center"/>
              <w:spacing w:after="0" w:line="240" w:lineRule="auto"/>
              <w:rPr>
                <w:rFonts w:hint="default"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56</w:t>
            </w:r>
            <w:r/>
          </w:p>
        </w:tc>
        <w:tc>
          <w:tcPr>
            <w:tcW w:w="3668"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防高温手套</w:t>
            </w:r>
            <w:r/>
          </w:p>
        </w:tc>
        <w:tc>
          <w:tcPr>
            <w:tcW w:w="1993"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副</w:t>
            </w:r>
            <w:r/>
          </w:p>
        </w:tc>
        <w:tc>
          <w:tcPr>
            <w:shd w:val="clear" w:color="auto" w:fill="auto"/>
            <w:tcW w:w="1884" w:type="dxa"/>
            <w:vAlign w:val="center"/>
            <w:textDirection w:val="lrTb"/>
            <w:noWrap w:val="false"/>
          </w:tcPr>
          <w:p>
            <w:pPr>
              <w:jc w:val="center"/>
              <w:keepLines w:val="0"/>
              <w:keepNext w:val="0"/>
              <w:spacing w:after="0" w:line="240" w:lineRule="auto"/>
              <w:widowControl/>
              <w:rPr>
                <w:rFonts w:hint="default" w:ascii="宋体" w:hAnsi="宋体" w:eastAsia="宋体" w:cs="宋体"/>
                <w:b w:val="0"/>
                <w:bCs/>
                <w:color w:val="000000"/>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20</w:t>
            </w:r>
            <w:r/>
          </w:p>
        </w:tc>
      </w:tr>
      <w:tr>
        <w:trPr>
          <w:trHeight w:val="442" w:hRule="exact"/>
        </w:trPr>
        <w:tc>
          <w:tcPr>
            <w:tcW w:w="780" w:type="dxa"/>
            <w:vAlign w:val="center"/>
            <w:textDirection w:val="lrTb"/>
            <w:noWrap w:val="false"/>
          </w:tcPr>
          <w:p>
            <w:pPr>
              <w:jc w:val="center"/>
              <w:spacing w:after="0" w:line="240" w:lineRule="auto"/>
              <w:rPr>
                <w:rFonts w:hint="default"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57</w:t>
            </w:r>
            <w:r/>
          </w:p>
        </w:tc>
        <w:tc>
          <w:tcPr>
            <w:tcW w:w="3668"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防化手套</w:t>
            </w:r>
            <w:r/>
          </w:p>
        </w:tc>
        <w:tc>
          <w:tcPr>
            <w:tcW w:w="1993"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副</w:t>
            </w:r>
            <w:r/>
          </w:p>
        </w:tc>
        <w:tc>
          <w:tcPr>
            <w:shd w:val="clear" w:color="auto" w:fill="auto"/>
            <w:tcW w:w="1884" w:type="dxa"/>
            <w:vAlign w:val="center"/>
            <w:textDirection w:val="lrTb"/>
            <w:noWrap w:val="false"/>
          </w:tcPr>
          <w:p>
            <w:pPr>
              <w:jc w:val="center"/>
              <w:keepLines w:val="0"/>
              <w:keepNext w:val="0"/>
              <w:spacing w:after="0" w:line="240" w:lineRule="auto"/>
              <w:widowControl/>
              <w:rPr>
                <w:rFonts w:hint="default" w:ascii="宋体" w:hAnsi="宋体" w:eastAsia="宋体" w:cs="宋体"/>
                <w:b w:val="0"/>
                <w:bCs/>
                <w:color w:val="000000"/>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20</w:t>
            </w:r>
            <w:r/>
          </w:p>
        </w:tc>
      </w:tr>
      <w:tr>
        <w:trPr>
          <w:trHeight w:val="442" w:hRule="exact"/>
        </w:trPr>
        <w:tc>
          <w:tcPr>
            <w:tcW w:w="780" w:type="dxa"/>
            <w:vAlign w:val="center"/>
            <w:textDirection w:val="lrTb"/>
            <w:noWrap w:val="false"/>
          </w:tcPr>
          <w:p>
            <w:pPr>
              <w:jc w:val="center"/>
              <w:spacing w:after="0" w:line="240" w:lineRule="auto"/>
              <w:rPr>
                <w:rFonts w:hint="default"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58</w:t>
            </w:r>
            <w:r/>
          </w:p>
        </w:tc>
        <w:tc>
          <w:tcPr>
            <w:tcW w:w="3668"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降温背心</w:t>
            </w:r>
            <w:r/>
          </w:p>
        </w:tc>
        <w:tc>
          <w:tcPr>
            <w:tcW w:w="1993"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件</w:t>
            </w:r>
            <w:r/>
          </w:p>
        </w:tc>
        <w:tc>
          <w:tcPr>
            <w:shd w:val="clear" w:color="auto" w:fill="auto"/>
            <w:tcW w:w="1884" w:type="dxa"/>
            <w:vAlign w:val="center"/>
            <w:textDirection w:val="lrTb"/>
            <w:noWrap w:val="false"/>
          </w:tcPr>
          <w:p>
            <w:pPr>
              <w:jc w:val="center"/>
              <w:keepLines w:val="0"/>
              <w:keepNext w:val="0"/>
              <w:spacing w:after="0" w:line="240" w:lineRule="auto"/>
              <w:widowControl/>
              <w:rPr>
                <w:rFonts w:hint="default" w:ascii="宋体" w:hAnsi="宋体" w:eastAsia="宋体" w:cs="宋体"/>
                <w:b w:val="0"/>
                <w:bCs/>
                <w:color w:val="000000"/>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20</w:t>
            </w:r>
            <w:r/>
          </w:p>
        </w:tc>
      </w:tr>
      <w:tr>
        <w:trPr>
          <w:trHeight w:val="442" w:hRule="exact"/>
        </w:trPr>
        <w:tc>
          <w:tcPr>
            <w:tcW w:w="780" w:type="dxa"/>
            <w:vAlign w:val="center"/>
            <w:textDirection w:val="lrTb"/>
            <w:noWrap w:val="false"/>
          </w:tcPr>
          <w:p>
            <w:pPr>
              <w:jc w:val="center"/>
              <w:spacing w:after="0" w:line="240" w:lineRule="auto"/>
              <w:rPr>
                <w:rFonts w:hint="default"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59</w:t>
            </w:r>
            <w:r/>
          </w:p>
        </w:tc>
        <w:tc>
          <w:tcPr>
            <w:tcW w:w="3668"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移动泡沫钩管</w:t>
            </w:r>
            <w:r/>
          </w:p>
        </w:tc>
        <w:tc>
          <w:tcPr>
            <w:tcW w:w="1993"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个</w:t>
            </w:r>
            <w:r/>
          </w:p>
        </w:tc>
        <w:tc>
          <w:tcPr>
            <w:shd w:val="clear" w:color="auto" w:fill="auto"/>
            <w:tcW w:w="1884" w:type="dxa"/>
            <w:vAlign w:val="center"/>
            <w:textDirection w:val="lrTb"/>
            <w:noWrap w:val="false"/>
          </w:tcPr>
          <w:p>
            <w:pPr>
              <w:jc w:val="center"/>
              <w:keepLines w:val="0"/>
              <w:keepNext w:val="0"/>
              <w:spacing w:after="0" w:line="240" w:lineRule="auto"/>
              <w:widowControl/>
              <w:rPr>
                <w:rFonts w:hint="default" w:ascii="宋体" w:hAnsi="宋体" w:eastAsia="宋体" w:cs="宋体"/>
                <w:b w:val="0"/>
                <w:bCs/>
                <w:color w:val="000000"/>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5</w:t>
            </w:r>
            <w:r/>
          </w:p>
        </w:tc>
      </w:tr>
      <w:tr>
        <w:trPr>
          <w:trHeight w:val="442" w:hRule="exact"/>
        </w:trPr>
        <w:tc>
          <w:tcPr>
            <w:tcW w:w="780" w:type="dxa"/>
            <w:vAlign w:val="center"/>
            <w:textDirection w:val="lrTb"/>
            <w:noWrap w:val="false"/>
          </w:tcPr>
          <w:p>
            <w:pPr>
              <w:jc w:val="center"/>
              <w:spacing w:after="0" w:line="240" w:lineRule="auto"/>
              <w:rPr>
                <w:rFonts w:hint="default"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60</w:t>
            </w:r>
            <w:r/>
          </w:p>
        </w:tc>
        <w:tc>
          <w:tcPr>
            <w:tcW w:w="3668" w:type="dxa"/>
            <w:vAlign w:val="center"/>
            <w:textDirection w:val="lrTb"/>
            <w:noWrap w:val="false"/>
          </w:tcPr>
          <w:p>
            <w:pPr>
              <w:jc w:val="center"/>
              <w:spacing w:after="0" w:line="240" w:lineRule="auto"/>
              <w:rPr>
                <w:rFonts w:hint="default"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泡沫枪Q16</w:t>
            </w:r>
            <w:r/>
          </w:p>
        </w:tc>
        <w:tc>
          <w:tcPr>
            <w:tcW w:w="1993"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把</w:t>
            </w:r>
            <w:r/>
          </w:p>
        </w:tc>
        <w:tc>
          <w:tcPr>
            <w:shd w:val="clear" w:color="auto" w:fill="auto"/>
            <w:tcW w:w="1884" w:type="dxa"/>
            <w:vAlign w:val="center"/>
            <w:textDirection w:val="lrTb"/>
            <w:noWrap w:val="false"/>
          </w:tcPr>
          <w:p>
            <w:pPr>
              <w:jc w:val="center"/>
              <w:keepLines w:val="0"/>
              <w:keepNext w:val="0"/>
              <w:spacing w:after="0" w:line="240" w:lineRule="auto"/>
              <w:widowControl/>
              <w:rPr>
                <w:rFonts w:hint="default" w:ascii="宋体" w:hAnsi="宋体" w:eastAsia="宋体" w:cs="宋体"/>
                <w:b w:val="0"/>
                <w:bCs/>
                <w:color w:val="000000"/>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5</w:t>
            </w:r>
            <w:r/>
          </w:p>
        </w:tc>
      </w:tr>
      <w:tr>
        <w:trPr>
          <w:trHeight w:val="411" w:hRule="exact"/>
        </w:trPr>
        <w:tc>
          <w:tcPr>
            <w:tcW w:w="780" w:type="dxa"/>
            <w:vAlign w:val="center"/>
            <w:textDirection w:val="lrTb"/>
            <w:noWrap w:val="false"/>
          </w:tcPr>
          <w:p>
            <w:pPr>
              <w:jc w:val="center"/>
              <w:spacing w:after="0" w:line="240" w:lineRule="auto"/>
              <w:rPr>
                <w:rFonts w:hint="default"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61</w:t>
            </w:r>
            <w:r/>
          </w:p>
        </w:tc>
        <w:tc>
          <w:tcPr>
            <w:tcW w:w="3668"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泡沫枪Q8</w:t>
            </w:r>
            <w:r/>
          </w:p>
        </w:tc>
        <w:tc>
          <w:tcPr>
            <w:tcW w:w="1993"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把</w:t>
            </w:r>
            <w:r/>
          </w:p>
        </w:tc>
        <w:tc>
          <w:tcPr>
            <w:shd w:val="clear" w:color="auto" w:fill="auto"/>
            <w:tcW w:w="1884" w:type="dxa"/>
            <w:vAlign w:val="center"/>
            <w:textDirection w:val="lrTb"/>
            <w:noWrap w:val="false"/>
          </w:tcPr>
          <w:p>
            <w:pPr>
              <w:jc w:val="center"/>
              <w:keepLines w:val="0"/>
              <w:keepNext w:val="0"/>
              <w:spacing w:after="0" w:line="240" w:lineRule="auto"/>
              <w:widowControl/>
              <w:rPr>
                <w:rFonts w:hint="default" w:ascii="宋体" w:hAnsi="宋体" w:eastAsia="宋体" w:cs="宋体"/>
                <w:b w:val="0"/>
                <w:bCs/>
                <w:color w:val="000000"/>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5</w:t>
            </w:r>
            <w:r/>
          </w:p>
        </w:tc>
      </w:tr>
      <w:tr>
        <w:trPr>
          <w:trHeight w:val="442" w:hRule="exact"/>
        </w:trPr>
        <w:tc>
          <w:tcPr>
            <w:tcW w:w="780" w:type="dxa"/>
            <w:vAlign w:val="center"/>
            <w:textDirection w:val="lrTb"/>
            <w:noWrap w:val="false"/>
          </w:tcPr>
          <w:p>
            <w:pPr>
              <w:jc w:val="center"/>
              <w:spacing w:after="0" w:line="240" w:lineRule="auto"/>
              <w:rPr>
                <w:rFonts w:hint="default"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62</w:t>
            </w:r>
            <w:r/>
          </w:p>
        </w:tc>
        <w:tc>
          <w:tcPr>
            <w:tcW w:w="3668"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水幕发生器</w:t>
            </w:r>
            <w:r/>
          </w:p>
        </w:tc>
        <w:tc>
          <w:tcPr>
            <w:tcW w:w="1993"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把</w:t>
            </w:r>
            <w:r/>
          </w:p>
        </w:tc>
        <w:tc>
          <w:tcPr>
            <w:shd w:val="clear" w:color="auto" w:fill="auto"/>
            <w:tcW w:w="1884"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color w:val="000000"/>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5</w:t>
            </w:r>
            <w:r/>
          </w:p>
        </w:tc>
      </w:tr>
      <w:tr>
        <w:trPr>
          <w:trHeight w:val="442" w:hRule="exact"/>
        </w:trPr>
        <w:tc>
          <w:tcPr>
            <w:tcW w:w="780" w:type="dxa"/>
            <w:vAlign w:val="center"/>
            <w:textDirection w:val="lrTb"/>
            <w:noWrap w:val="false"/>
          </w:tcPr>
          <w:p>
            <w:pPr>
              <w:jc w:val="center"/>
              <w:spacing w:after="0" w:line="240" w:lineRule="auto"/>
              <w:rPr>
                <w:rFonts w:hint="default"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63</w:t>
            </w:r>
            <w:r/>
          </w:p>
        </w:tc>
        <w:tc>
          <w:tcPr>
            <w:tcW w:w="3668"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警戒标志杆</w:t>
            </w:r>
            <w:r/>
          </w:p>
        </w:tc>
        <w:tc>
          <w:tcPr>
            <w:tcW w:w="1993"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个</w:t>
            </w:r>
            <w:r/>
          </w:p>
        </w:tc>
        <w:tc>
          <w:tcPr>
            <w:shd w:val="clear" w:color="auto" w:fill="auto"/>
            <w:tcW w:w="1884"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color w:val="000000"/>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442" w:hRule="exact"/>
        </w:trPr>
        <w:tc>
          <w:tcPr>
            <w:tcW w:w="780" w:type="dxa"/>
            <w:vAlign w:val="center"/>
            <w:textDirection w:val="lrTb"/>
            <w:noWrap w:val="false"/>
          </w:tcPr>
          <w:p>
            <w:pPr>
              <w:jc w:val="center"/>
              <w:spacing w:after="0" w:line="240" w:lineRule="auto"/>
              <w:rPr>
                <w:rFonts w:hint="default"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64</w:t>
            </w:r>
            <w:r/>
          </w:p>
        </w:tc>
        <w:tc>
          <w:tcPr>
            <w:tcW w:w="3668"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防爆探照灯</w:t>
            </w:r>
            <w:r/>
          </w:p>
        </w:tc>
        <w:tc>
          <w:tcPr>
            <w:tcW w:w="1993"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个</w:t>
            </w:r>
            <w:r/>
          </w:p>
        </w:tc>
        <w:tc>
          <w:tcPr>
            <w:shd w:val="clear" w:color="auto" w:fill="auto"/>
            <w:tcW w:w="1884"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color w:val="000000"/>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6</w:t>
            </w:r>
            <w:r/>
          </w:p>
        </w:tc>
      </w:tr>
      <w:tr>
        <w:trPr>
          <w:trHeight w:val="442" w:hRule="exact"/>
        </w:trPr>
        <w:tc>
          <w:tcPr>
            <w:tcW w:w="780" w:type="dxa"/>
            <w:vAlign w:val="center"/>
            <w:textDirection w:val="lrTb"/>
            <w:noWrap w:val="false"/>
          </w:tcPr>
          <w:p>
            <w:pPr>
              <w:jc w:val="center"/>
              <w:spacing w:after="0" w:line="240" w:lineRule="auto"/>
              <w:rPr>
                <w:rFonts w:hint="default"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65</w:t>
            </w:r>
            <w:r/>
          </w:p>
        </w:tc>
        <w:tc>
          <w:tcPr>
            <w:tcW w:w="3668"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无齿锯锯片</w:t>
            </w:r>
            <w:r/>
          </w:p>
        </w:tc>
        <w:tc>
          <w:tcPr>
            <w:tcW w:w="1993"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张</w:t>
            </w:r>
            <w:r/>
          </w:p>
        </w:tc>
        <w:tc>
          <w:tcPr>
            <w:shd w:val="clear" w:color="auto" w:fill="auto"/>
            <w:tcW w:w="1884"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color w:val="000000"/>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15</w:t>
            </w:r>
            <w:r/>
          </w:p>
        </w:tc>
      </w:tr>
      <w:tr>
        <w:trPr>
          <w:trHeight w:val="442" w:hRule="exact"/>
        </w:trPr>
        <w:tc>
          <w:tcPr>
            <w:tcW w:w="780" w:type="dxa"/>
            <w:vAlign w:val="center"/>
            <w:textDirection w:val="lrTb"/>
            <w:noWrap w:val="false"/>
          </w:tcPr>
          <w:p>
            <w:pPr>
              <w:jc w:val="center"/>
              <w:spacing w:after="0" w:line="240" w:lineRule="auto"/>
              <w:rPr>
                <w:rFonts w:hint="default"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66</w:t>
            </w:r>
            <w:r/>
          </w:p>
        </w:tc>
        <w:tc>
          <w:tcPr>
            <w:tcW w:w="3668"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舷外机</w:t>
            </w:r>
            <w:r/>
          </w:p>
        </w:tc>
        <w:tc>
          <w:tcPr>
            <w:tcW w:w="1993"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台</w:t>
            </w:r>
            <w:r/>
          </w:p>
        </w:tc>
        <w:tc>
          <w:tcPr>
            <w:shd w:val="clear" w:color="auto" w:fill="auto"/>
            <w:tcW w:w="1884"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color w:val="000000"/>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442" w:hRule="exact"/>
        </w:trPr>
        <w:tc>
          <w:tcPr>
            <w:tcW w:w="780" w:type="dxa"/>
            <w:vAlign w:val="center"/>
            <w:textDirection w:val="lrTb"/>
            <w:noWrap w:val="false"/>
          </w:tcPr>
          <w:p>
            <w:pPr>
              <w:jc w:val="center"/>
              <w:spacing w:after="0" w:line="240" w:lineRule="auto"/>
              <w:rPr>
                <w:rFonts w:hint="default"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67</w:t>
            </w:r>
            <w:r/>
          </w:p>
        </w:tc>
        <w:tc>
          <w:tcPr>
            <w:tcW w:w="3668"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50米静力绳</w:t>
            </w:r>
            <w:r/>
          </w:p>
        </w:tc>
        <w:tc>
          <w:tcPr>
            <w:tcW w:w="1993"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根</w:t>
            </w:r>
            <w:r/>
          </w:p>
        </w:tc>
        <w:tc>
          <w:tcPr>
            <w:shd w:val="clear" w:color="auto" w:fill="auto"/>
            <w:tcW w:w="1884"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color w:val="000000"/>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442" w:hRule="exact"/>
        </w:trPr>
        <w:tc>
          <w:tcPr>
            <w:tcW w:w="780" w:type="dxa"/>
            <w:vAlign w:val="center"/>
            <w:textDirection w:val="lrTb"/>
            <w:noWrap w:val="false"/>
          </w:tcPr>
          <w:p>
            <w:pPr>
              <w:jc w:val="center"/>
              <w:spacing w:after="0" w:line="240" w:lineRule="auto"/>
              <w:rPr>
                <w:rFonts w:hint="default"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68</w:t>
            </w:r>
            <w:r/>
          </w:p>
        </w:tc>
        <w:tc>
          <w:tcPr>
            <w:tcW w:w="3668"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直流炮头</w:t>
            </w:r>
            <w:r/>
          </w:p>
        </w:tc>
        <w:tc>
          <w:tcPr>
            <w:tcW w:w="1993"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个</w:t>
            </w:r>
            <w:r/>
          </w:p>
        </w:tc>
        <w:tc>
          <w:tcPr>
            <w:shd w:val="clear" w:color="auto" w:fill="auto"/>
            <w:tcW w:w="1884"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color w:val="000000"/>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442" w:hRule="exact"/>
        </w:trPr>
        <w:tc>
          <w:tcPr>
            <w:tcW w:w="780" w:type="dxa"/>
            <w:vAlign w:val="center"/>
            <w:textDirection w:val="lrTb"/>
            <w:noWrap w:val="false"/>
          </w:tcPr>
          <w:p>
            <w:pPr>
              <w:jc w:val="center"/>
              <w:spacing w:after="0" w:line="240" w:lineRule="auto"/>
              <w:rPr>
                <w:rFonts w:hint="default"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69</w:t>
            </w:r>
            <w:r/>
          </w:p>
        </w:tc>
        <w:tc>
          <w:tcPr>
            <w:tcW w:w="3668"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比武水枪</w:t>
            </w:r>
            <w:r/>
          </w:p>
        </w:tc>
        <w:tc>
          <w:tcPr>
            <w:tcW w:w="1993"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把</w:t>
            </w:r>
            <w:r/>
          </w:p>
        </w:tc>
        <w:tc>
          <w:tcPr>
            <w:shd w:val="clear" w:color="auto" w:fill="auto"/>
            <w:tcW w:w="1884"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color w:val="000000"/>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442" w:hRule="exact"/>
        </w:trPr>
        <w:tc>
          <w:tcPr>
            <w:tcW w:w="780" w:type="dxa"/>
            <w:vAlign w:val="center"/>
            <w:textDirection w:val="lrTb"/>
            <w:noWrap w:val="false"/>
          </w:tcPr>
          <w:p>
            <w:pPr>
              <w:jc w:val="center"/>
              <w:spacing w:after="0" w:line="240" w:lineRule="auto"/>
              <w:rPr>
                <w:rFonts w:hint="default"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70</w:t>
            </w:r>
            <w:r/>
          </w:p>
        </w:tc>
        <w:tc>
          <w:tcPr>
            <w:tcW w:w="3668"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20-80-50超轻水带+锻造快速接口</w:t>
            </w:r>
            <w:r/>
          </w:p>
        </w:tc>
        <w:tc>
          <w:tcPr>
            <w:tcW w:w="1993" w:type="dxa"/>
            <w:vAlign w:val="center"/>
            <w:textDirection w:val="lrTb"/>
            <w:noWrap w:val="false"/>
          </w:tcPr>
          <w:p>
            <w:pPr>
              <w:jc w:val="center"/>
              <w:spacing w:after="0" w:line="240" w:lineRule="auto"/>
              <w:rPr>
                <w:rFonts w:hint="eastAsia" w:ascii="宋体" w:hAnsi="宋体" w:eastAsia="宋体" w:cs="宋体"/>
                <w:b w:val="0"/>
                <w:bCs/>
                <w:color w:val="000000"/>
                <w:highlight w:val="none"/>
                <w:vertAlign w:val="baseline"/>
                <w:lang w:val="en-US" w:eastAsia="zh-CN"/>
              </w:rPr>
            </w:pPr>
            <w:r>
              <w:rPr>
                <w:rFonts w:hint="eastAsia" w:ascii="宋体" w:hAnsi="宋体" w:eastAsia="宋体" w:cs="宋体"/>
                <w:b w:val="0"/>
                <w:bCs/>
                <w:color w:val="000000"/>
                <w:highlight w:val="none"/>
                <w:vertAlign w:val="baseline"/>
                <w:lang w:val="en-US" w:eastAsia="zh-CN"/>
              </w:rPr>
              <w:t xml:space="preserve">盘</w:t>
            </w:r>
            <w:r/>
          </w:p>
        </w:tc>
        <w:tc>
          <w:tcPr>
            <w:shd w:val="clear" w:color="auto" w:fill="auto"/>
            <w:tcW w:w="1884"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color w:val="000000"/>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w:t>
            </w:r>
            <w:r/>
          </w:p>
        </w:tc>
      </w:tr>
    </w:tbl>
    <w:p>
      <w:pPr>
        <w:ind w:firstLine="422"/>
        <w:rPr>
          <w:rFonts w:hint="eastAsia" w:ascii="宋体" w:hAnsi="宋体" w:eastAsia="宋体" w:cs="宋体"/>
          <w:b/>
          <w:color w:val="000000"/>
          <w:highlight w:val="none"/>
        </w:rPr>
      </w:pPr>
      <w:r>
        <w:rPr>
          <w:rFonts w:hint="eastAsia" w:ascii="宋体" w:hAnsi="宋体" w:eastAsia="宋体" w:cs="宋体"/>
          <w:b/>
          <w:color w:val="000000"/>
          <w:highlight w:val="none"/>
        </w:rPr>
      </w:r>
      <w:r/>
    </w:p>
    <w:p>
      <w:pPr>
        <w:jc w:val="left"/>
        <w:spacing w:line="360" w:lineRule="auto"/>
        <w:rPr>
          <w:rFonts w:hint="default"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2.设备参数</w:t>
      </w:r>
      <w:r/>
    </w:p>
    <w:tbl>
      <w:tblPr>
        <w:tblStyle w:val="706"/>
        <w:tblW w:w="94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94"/>
        <w:gridCol w:w="1315"/>
        <w:gridCol w:w="6427"/>
        <w:gridCol w:w="1182"/>
      </w:tblGrid>
      <w:tr>
        <w:trPr>
          <w:trHeight w:val="632"/>
        </w:trPr>
        <w:tc>
          <w:tcPr>
            <w:shd w:val="clear" w:color="auto" w:fill="auto"/>
            <w:tcW w:w="494" w:type="dxa"/>
            <w:vAlign w:val="center"/>
            <w:textDirection w:val="lrTb"/>
            <w:noWrap w:val="false"/>
          </w:tcPr>
          <w:p>
            <w:pPr>
              <w:jc w:val="center"/>
              <w:keepLines w:val="0"/>
              <w:keepNext w:val="0"/>
              <w:spacing w:after="0" w:line="240" w:lineRule="auto"/>
              <w:widowControl/>
              <w:rPr>
                <w:rFonts w:hint="eastAsia" w:ascii="宋体" w:hAnsi="宋体" w:eastAsia="宋体" w:cs="宋体"/>
                <w:b/>
                <w:color w:val="000000"/>
                <w:sz w:val="21"/>
                <w:szCs w:val="22"/>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W w:w="1315" w:type="dxa"/>
            <w:vAlign w:val="center"/>
            <w:textDirection w:val="lrTb"/>
            <w:noWrap w:val="false"/>
          </w:tcPr>
          <w:p>
            <w:pPr>
              <w:jc w:val="center"/>
              <w:keepLines w:val="0"/>
              <w:keepNext w:val="0"/>
              <w:spacing w:after="0" w:line="240" w:lineRule="auto"/>
              <w:widowControl/>
              <w:rPr>
                <w:rFonts w:hint="eastAsia" w:ascii="宋体" w:hAnsi="宋体" w:eastAsia="宋体" w:cs="宋体"/>
                <w:b/>
                <w:color w:val="000000"/>
                <w:sz w:val="21"/>
                <w:szCs w:val="22"/>
                <w:highlight w:val="none"/>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名称</w:t>
            </w:r>
            <w:r/>
          </w:p>
        </w:tc>
        <w:tc>
          <w:tcPr>
            <w:tcW w:w="6427"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参数</w:t>
            </w:r>
            <w:r/>
          </w:p>
        </w:tc>
        <w:tc>
          <w:tcPr>
            <w:tcW w:w="1182"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备注</w:t>
            </w:r>
            <w:r/>
          </w:p>
        </w:tc>
      </w:tr>
      <w:tr>
        <w:trPr>
          <w:trHeight w:val="430"/>
        </w:trPr>
        <w:tc>
          <w:tcPr>
            <w:shd w:val="clear" w:color="auto" w:fill="auto"/>
            <w:tcW w:w="494"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W w:w="1315"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消防员抢险救援头盔</w:t>
            </w:r>
            <w:r/>
          </w:p>
        </w:tc>
        <w:tc>
          <w:tcPr>
            <w:tcW w:w="6427"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1、产品符合XF/GA 633-2006《消防员抢险救援防护服装》标准，提供国家认可的检测机构出具的检测报告，检测(验)报告须带“CMA”标识；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冲击吸收性能：高温预处理(将头盔置于50℃的温度中保持4h):头模所受冲击力为≤2200N；低温预处理(将头盔置于-28C的温度中保持4h):头模所受冲击力为≤2230N；浸水预处理(将头盔置于水槽中室温中保持4h):头模所受冲击力为≤2200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3、阻燃性能：火源离开帽壳后，其离火自熄时间(s):前方:0；后方:0；左侧:0；右侧:0。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4、侧向刚性：帽壳最大变形≤16mm,卸载后残余变形≤1mm，且帽壳无碎片脱落。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5、下颏带抗拉强度 ：下颏带延伸长度≤14mm,没有出现 断裂、连接件脱落和搭扣松脱现象。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6、耐穿透性能：低温预处理(将头盔置于-28C的温度中保持4h):钢椎未与头模建立电接触。</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7、热稳定性能：救援头盔在180C的烘箱中，保持5min后，其边沿无变形:硬质附件保持功能完好:反光材料表面无炭化、脱落现象。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8、质量：≤800g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9、配护目镜一副，符合XF 1273-2015《消防员防护辅助装备 消防员护目镜》标准，提供国家认可的检测机构出具的检测报告，检测(验)报告须带“CMA”标识；</w:t>
            </w:r>
            <w:r/>
          </w:p>
        </w:tc>
        <w:tc>
          <w:tcPr>
            <w:tcW w:w="1182" w:type="dxa"/>
            <w:textDirection w:val="lrTb"/>
            <w:noWrap w:val="false"/>
          </w:tcPr>
          <w:p>
            <w:pPr>
              <w:spacing w:after="0" w:line="240" w:lineRule="auto"/>
              <w:rPr>
                <w:rFonts w:hint="eastAsia" w:ascii="宋体" w:hAnsi="宋体" w:eastAsia="宋体" w:cs="宋体"/>
                <w:b/>
                <w:color w:val="000000"/>
                <w:highlight w:val="none"/>
                <w:vertAlign w:val="baseline"/>
              </w:rPr>
            </w:pPr>
            <w:r>
              <w:rPr>
                <w:rFonts w:hint="eastAsia" w:ascii="宋体" w:hAnsi="宋体" w:eastAsia="宋体" w:cs="宋体"/>
                <w:b/>
                <w:color w:val="000000"/>
                <w:highlight w:val="none"/>
                <w:vertAlign w:val="baseline"/>
              </w:rPr>
            </w:r>
            <w:r/>
          </w:p>
        </w:tc>
      </w:tr>
      <w:tr>
        <w:trPr>
          <w:trHeight w:val="1627"/>
        </w:trPr>
        <w:tc>
          <w:tcPr>
            <w:shd w:val="clear" w:color="auto" w:fill="auto"/>
            <w:tcW w:w="494"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W w:w="1315"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消防员抢险腰带</w:t>
            </w:r>
            <w:r/>
          </w:p>
        </w:tc>
        <w:tc>
          <w:tcPr>
            <w:tcW w:w="6427"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1、符合XF/GA 494-2004《消防用防坠落装备》的标准，提供国家认可的检测机构出具的检测报告，检测(验)报告须带“CMA”标识；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2、尺寸：≥长800*宽49*厚2.8mm；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3、耐高温性能：经204℃，5min的耐高温性能试验，安全腰带的织带和缝线不应出现融熔、焦化现象。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4、金属部件的耐腐蚀性：试验经48h中性盐雾试验后，外观应符合GB/T6461-2002外观等级评定的轻微级的要求。</w:t>
            </w:r>
            <w:r/>
          </w:p>
        </w:tc>
        <w:tc>
          <w:tcPr>
            <w:tcW w:w="1182" w:type="dxa"/>
            <w:textDirection w:val="lrTb"/>
            <w:noWrap w:val="false"/>
          </w:tcPr>
          <w:p>
            <w:pPr>
              <w:spacing w:after="0" w:line="240" w:lineRule="auto"/>
              <w:rPr>
                <w:rFonts w:hint="eastAsia" w:ascii="宋体" w:hAnsi="宋体" w:eastAsia="宋体" w:cs="宋体"/>
                <w:b/>
                <w:color w:val="000000"/>
                <w:highlight w:val="none"/>
                <w:vertAlign w:val="baseline"/>
              </w:rPr>
            </w:pPr>
            <w:r>
              <w:rPr>
                <w:rFonts w:hint="eastAsia" w:ascii="宋体" w:hAnsi="宋体" w:eastAsia="宋体" w:cs="宋体"/>
                <w:b/>
                <w:color w:val="000000"/>
                <w:highlight w:val="none"/>
                <w:vertAlign w:val="baseline"/>
              </w:rPr>
            </w:r>
            <w:r/>
          </w:p>
        </w:tc>
      </w:tr>
      <w:tr>
        <w:trPr>
          <w:trHeight w:val="1627"/>
        </w:trPr>
        <w:tc>
          <w:tcPr>
            <w:shd w:val="clear" w:color="auto" w:fill="auto"/>
            <w:tcW w:w="494"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W w:w="1315"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消防员灭火救援手套</w:t>
            </w:r>
            <w:r/>
          </w:p>
        </w:tc>
        <w:tc>
          <w:tcPr>
            <w:tcW w:w="6427"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▲1、符合XF/GA 7-2004《消防手套》标准要求，提供国家认可的检测机构出具的检测报告，检测(验)报告须带“CMA”标识；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▲2、灵巧性能等级：≥5级；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3、手掌采用进口胎羊皮，耐磨性能好，小指延长线掌心下侧添加XRD缓冲垫补强，增加减震效果；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4、手背采用舒适芳纶针织布，手背设有黄银黄反光条；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5、腕口采用弹性松紧布搭配魔术贴调节松紧锁紧结构。</w:t>
            </w:r>
            <w:r/>
          </w:p>
        </w:tc>
        <w:tc>
          <w:tcPr>
            <w:tcW w:w="1182" w:type="dxa"/>
            <w:textDirection w:val="lrTb"/>
            <w:noWrap w:val="false"/>
          </w:tcPr>
          <w:p>
            <w:pPr>
              <w:spacing w:after="0" w:line="240" w:lineRule="auto"/>
              <w:rPr>
                <w:rFonts w:hint="eastAsia" w:ascii="宋体" w:hAnsi="宋体" w:eastAsia="宋体" w:cs="宋体"/>
                <w:b/>
                <w:color w:val="000000"/>
                <w:highlight w:val="none"/>
                <w:vertAlign w:val="baseline"/>
              </w:rPr>
            </w:pPr>
            <w:r>
              <w:rPr>
                <w:rFonts w:hint="eastAsia" w:ascii="宋体" w:hAnsi="宋体" w:eastAsia="宋体" w:cs="宋体"/>
                <w:b/>
                <w:color w:val="000000"/>
                <w:highlight w:val="none"/>
                <w:vertAlign w:val="baseline"/>
              </w:rPr>
            </w:r>
            <w:r/>
          </w:p>
        </w:tc>
      </w:tr>
      <w:tr>
        <w:trPr>
          <w:trHeight w:val="3233"/>
        </w:trPr>
        <w:tc>
          <w:tcPr>
            <w:shd w:val="clear" w:color="auto" w:fill="auto"/>
            <w:tcW w:w="494"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W w:w="1315"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消防员灭火救援靴</w:t>
            </w:r>
            <w:r/>
          </w:p>
        </w:tc>
        <w:tc>
          <w:tcPr>
            <w:tcW w:w="6427"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1、符合XF6-2004《消防员灭火防护靴》标准，提供国家认可的检测机构出具的检测报告，检测(验)报告须带“CMA”标识；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2、外观部分: 本防护靴主体为黑色，辅以醒目的金黄色；靴底和靴面均采用优质阻燃橡胶材料制成。</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靴头内设置有钢包头层，在钢包头层上下两侧设置防护外层、舒适层、衬里层等；为提高靴底的防穿刺性、绝缘性及隔热性，靴底设置有钢中底层，并在钢中底层上下两侧设置绝缘层、舒适层和衬里层。同时，靴底采用了防滑设计，靴筒拥有防水、防割功能，增强了防护靴整体安全性能。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防砸性能：灭火防护靴的防砸性能静压力≥19mm；及冲击≥19mm，抗刺穿性能≥1900N，靴面经抗切割试验后不会被割穿。电绝缘性能：击穿电压≥5000V,泄漏电流:≤0.21mA，隔热性能≤7℃。抗辐射热渗透性能≤5℃；防滑性能：≥23°</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5、质量：每双消防员灭火防护胶靴的质量≤1.75Kg。</w:t>
            </w:r>
            <w:r/>
          </w:p>
        </w:tc>
        <w:tc>
          <w:tcPr>
            <w:tcW w:w="1182" w:type="dxa"/>
            <w:textDirection w:val="lrTb"/>
            <w:noWrap w:val="false"/>
          </w:tcPr>
          <w:p>
            <w:pPr>
              <w:spacing w:after="0" w:line="240" w:lineRule="auto"/>
              <w:rPr>
                <w:rFonts w:hint="eastAsia" w:ascii="宋体" w:hAnsi="宋体" w:eastAsia="宋体" w:cs="宋体"/>
                <w:b/>
                <w:color w:val="000000"/>
                <w:highlight w:val="none"/>
                <w:vertAlign w:val="baseline"/>
              </w:rPr>
            </w:pPr>
            <w:r>
              <w:rPr>
                <w:rFonts w:hint="eastAsia" w:ascii="宋体" w:hAnsi="宋体" w:eastAsia="宋体" w:cs="宋体"/>
                <w:b/>
                <w:color w:val="000000"/>
                <w:highlight w:val="none"/>
                <w:vertAlign w:val="baseline"/>
              </w:rPr>
            </w:r>
            <w:r/>
          </w:p>
        </w:tc>
      </w:tr>
      <w:tr>
        <w:trPr>
          <w:trHeight w:val="1855"/>
        </w:trPr>
        <w:tc>
          <w:tcPr>
            <w:shd w:val="clear" w:color="auto" w:fill="auto"/>
            <w:tcW w:w="494"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W w:w="1315"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呼救器</w:t>
            </w:r>
            <w:r/>
          </w:p>
        </w:tc>
        <w:tc>
          <w:tcPr>
            <w:tcW w:w="6427"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1、静止至预警时间：30s±2s；预报警时间：15s±2s；预报警声级强度：≥85dB(A)；报警声级强度：≥100dB(A)；低电压告警声级强度：≥65dB(A)；</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2、连续开机时间：≥24h ；连续报警时间：≥6h；                                                                  </w:t>
            </w:r>
            <w:r>
              <w:rPr>
                <w:rFonts w:hint="eastAsia" w:ascii="宋体" w:hAnsi="宋体" w:eastAsia="宋体" w:cs="宋体"/>
                <w:i w:val="0"/>
                <w:iCs w:val="0"/>
                <w:color w:val="000000"/>
                <w:sz w:val="18"/>
                <w:szCs w:val="18"/>
                <w:u w:val="none"/>
                <w:lang w:val="en-US" w:eastAsia="zh-CN" w:bidi="ar"/>
              </w:rPr>
              <w:t xml:space="preserve">                                                                                                                                                                                                                                                                </w:t>
            </w:r>
            <w:r>
              <w:rPr>
                <w:rFonts w:hint="eastAsia" w:ascii="宋体" w:hAnsi="宋体" w:eastAsia="宋体" w:cs="宋体"/>
                <w:i w:val="0"/>
                <w:iCs w:val="0"/>
                <w:color w:val="000000"/>
                <w:sz w:val="18"/>
                <w:szCs w:val="18"/>
                <w:u w:val="none"/>
                <w:lang w:val="en-US" w:eastAsia="zh-CN" w:bidi="ar"/>
              </w:rPr>
              <w:t xml:space="preserve">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3、质量：≤300g（含电池）；</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▲4、外壳防护等级IP68,防爆等级：Exib IIC T4 Gb（提供防爆合格证）</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5、其他参数符合消防员呼救器标准要求。</w:t>
            </w:r>
            <w:r/>
          </w:p>
        </w:tc>
        <w:tc>
          <w:tcPr>
            <w:tcW w:w="1182" w:type="dxa"/>
            <w:textDirection w:val="lrTb"/>
            <w:noWrap w:val="false"/>
          </w:tcPr>
          <w:p>
            <w:pPr>
              <w:spacing w:after="0" w:line="240" w:lineRule="auto"/>
              <w:rPr>
                <w:rFonts w:hint="eastAsia" w:ascii="宋体" w:hAnsi="宋体" w:eastAsia="宋体" w:cs="宋体"/>
                <w:b/>
                <w:color w:val="000000"/>
                <w:highlight w:val="none"/>
                <w:vertAlign w:val="baseline"/>
              </w:rPr>
            </w:pPr>
            <w:r>
              <w:rPr>
                <w:rFonts w:hint="eastAsia" w:ascii="宋体" w:hAnsi="宋体" w:eastAsia="宋体" w:cs="宋体"/>
                <w:b/>
                <w:color w:val="000000"/>
                <w:highlight w:val="none"/>
                <w:vertAlign w:val="baseline"/>
              </w:rPr>
            </w:r>
            <w:r/>
          </w:p>
        </w:tc>
      </w:tr>
      <w:tr>
        <w:trPr>
          <w:trHeight w:val="13328"/>
        </w:trPr>
        <w:tc>
          <w:tcPr>
            <w:shd w:val="clear" w:color="auto" w:fill="auto"/>
            <w:tcW w:w="494"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W w:w="1315"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正压式空气呼吸器</w:t>
            </w:r>
            <w:r/>
          </w:p>
        </w:tc>
        <w:tc>
          <w:tcPr>
            <w:tcW w:w="6427"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▲1、符合国家XF124-2013《正压式消防空气呼吸器》标准，提供国家认可的检测机构出具的检测报告，检测(验)报告须带“CMA”标识。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2、结构组成：产品由气瓶，全面罩、供气阀、减压阀、导气管、警报器、背架、压力平视装置等组成。</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3、材料和结构：背具背板采用阻燃纤维增强材料，背具带，带扣，气瓶保护套，全面罩，导气管，供气阀，整机气密性非金属高压部件强度等设计符合国家XF124-2013标准。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4、外观要求：空气呼吸器由6.8升带独立压力表气瓶，全面罩、供气阀、减压阀、导气管、警报器、背架、无线连接方式压力平视装置等组成，操作方便。</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5、材料阻燃性能：背具，背具带，带扣，橘红色阻燃气瓶保护套，全面罩，导气管，供气阀阻燃性能试验后，没有出现熔融现象，续燃时间全部为零。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▲6、整机气密性能：压力指示值在1 min内的下降为0Mpa。</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7、抗热老化性能，整机气密性能：压力指示值在1 min内的下降为0Mpa。非金属高压部件，中压导气管强度，符合标准。背具背板采用阻燃纤维增强材料，背架安装采用插销，卡扣设计维护方便。</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8、佩戴质量≤12kg。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▲9、动态呼吸器阻力，在气瓶压力30MPa~2MPa，呼气量40×2.5 L/min时，吸气阻力为≤260 Pa，呼气阻力为≤630Pa；在气瓶压力2MPa~1MPa，呼气量25×2 L/min时，吸气阻力为≤222 Pa，呼气阻力为≤536Pa。</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▲10、耐高温试验后，呼气阻力为≤624Pa。</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▲11、耐低温试验后，呼气阻力为≤555Pa。</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12、耐辐射热性能试验后，进行整机气密性试验，压力下降值为0MPa。</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13、报警哨性能：报警哨压力5.5±0.5Mpa，连续声响时间至少90dB(A)的声强持续&gt;15秒。报警器继续报警符合标准，平均耗气量为≤3L/min。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14、采用Kelvar 网状五点式防火头带全面罩总视野保留率为≥80%，双目视野保留率≥70%，镜面透光率≥90%，吸入空气中二氧化碳含量为≤0.88%。可选配专用眼镜架，方便近视者使用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15、减压器输出压力≤0.68 MPa。安全阀关闭压力≥1.09MPa。</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16、压力表精度高且带有夜光显示功能，显示精度不低于1.6级。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17、压力平视装置的显示装置一次配对后，开启会自动连接，无需再次配对，当气瓶压力30MPa~10 MPa时，绿灯常亮；10 MPa~6 MPa时，黄灯常亮；6 MPa以下时，红灯一直闪烁，当压力平视装置的显示装置电压低时，黄灯一直闪亮。显示装置可感应外界光线自动调整亮度不影响视线。压力平视装置的显示装置的防爆性能不低于GB3836.1-2010及B3836.4-2010中Exia IIC T3 要求，显示模块防护等级≥IP67，发射模块防护等级≥IP65。无需工具可取出方便面罩维护清洗。提供防爆合格证。</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18、气瓶水容积：6.8L，全缠绕式碳纤复合材料：内胆采用高强度、耐腐蚀、重量轻的铝合金材料，工作压力30MPa，水压试验压力50MPa，符合GB/T28053-2023规定标准。爆破压力达工作压力的3.4倍以上，耐疲劳试验达10000次以上，气瓶有安全保护膜片，气瓶带有橡胶保护套独立的压力表并具有荧光功能，气瓶配有橘红色阻燃保护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19、标志：整套空呼具有消防标识，厂家信息，型号，合格证和中文说明书以及操作挂图方便了解使用方法。</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20、全面罩视野开阔，采用凯夫拉五点式网状头带可选配专用眼镜架，方便近视者使用，镜面防雾、防划、抗冲击，无视觉扭曲，面罩具有视窗自动除结雾功能，通过950℃火焰燃烧测试。具备免工具手动拆解清洗维护功能。半球形供气阀最大供气流量不小于500升/分钟，接头全方向360度旋转，吸气自动供气，无需辅助按钮。供气阀可免工具拆解清洗，便于日常清洁保养维护。</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21、腰带可随使用者运动而自行旋转，调整重心，减轻负重感。腰带上有供气阀固定座，采用拉练式肩带有反光条，拆卸方便，可两个气管互换。气瓶固定带便于伸缩，带有快调锁止机构。</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22、每套空呼配空呼气瓶2个，面罩套2个</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注：带“▲”参数须在检测报告中体现</w:t>
            </w:r>
            <w:r/>
          </w:p>
        </w:tc>
        <w:tc>
          <w:tcPr>
            <w:tcW w:w="1182" w:type="dxa"/>
            <w:textDirection w:val="lrTb"/>
            <w:noWrap w:val="false"/>
          </w:tcPr>
          <w:p>
            <w:pPr>
              <w:spacing w:after="0" w:line="240" w:lineRule="auto"/>
              <w:rPr>
                <w:rFonts w:hint="eastAsia" w:ascii="宋体" w:hAnsi="宋体" w:eastAsia="宋体" w:cs="宋体"/>
                <w:b/>
                <w:color w:val="000000"/>
                <w:highlight w:val="none"/>
                <w:vertAlign w:val="baseline"/>
              </w:rPr>
            </w:pPr>
            <w:r>
              <w:rPr>
                <w:rFonts w:hint="eastAsia" w:ascii="宋体" w:hAnsi="宋体" w:eastAsia="宋体" w:cs="宋体"/>
                <w:b/>
                <w:color w:val="000000"/>
                <w:highlight w:val="none"/>
                <w:vertAlign w:val="baseline"/>
              </w:rPr>
            </w:r>
            <w:r/>
          </w:p>
        </w:tc>
      </w:tr>
      <w:tr>
        <w:trPr>
          <w:trHeight w:val="5527"/>
        </w:trPr>
        <w:tc>
          <w:tcPr>
            <w:shd w:val="clear" w:color="auto" w:fill="auto"/>
            <w:tcW w:w="494"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W w:w="1315"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应急逃生自救安全绳</w:t>
            </w:r>
            <w:r/>
          </w:p>
        </w:tc>
        <w:tc>
          <w:tcPr>
            <w:tcW w:w="6427"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▲1、符合XF494-2023《消防用防坠落装备》标准的要求，提供国家认可的检测机构出具的检测报告，检测(验)报告须带“CMA”标识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2、整套自救逃生系统由1条安全绳、1个下降器、2个安全钩、1个携带包组成。</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3、安全绳：绳皮、绳芯均采用芳纶长丝材质；直径8mm±0.5mm，长度≥16m，破断强度≥20kN。在 600℃±5℃、1.33 kN 负荷环境下的承载 45 s，在 400℃±5℃、1.33 kN 负荷环境下承载 300s，不出现断裂现象。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3.1、绳索的4米、8米、12米处均设有标识；绳体设有间断反光标识。安全绳的一端采用绳结结构收尾，并用细绳扎缝，在扎缝处热封并包以裹紧的塑料套管。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下降器：下降器，具有“离手制停”和“防慌乱”功能，可空中悬停。下降器面板可开合设计，可迅速调整和撤换绳索，节约宝贵的逃生时间。并拥有面板双重安全保护开关；工作负荷≥11kN。主体框架应采用航空铝合金制造，适用8-9.5mm绳索，下降器外部标注穿绳方向、操作说明和安全提醒。</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▲5、安全钩：采用二段自动锁，钛合金材质；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▲5.1、长轴闭口最大破断强度≥45kN，长轴开门破断强度≥20kN，短轴破断强度≥20kN；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▲5.2安全钩重量≥120g。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6、绳包：绳包：主体材料为与灭火防护服相同的芳纶材质，耐磨、耐高温，便于携带。耐 260℃高温没有明显变化。绳包内置有排绳板防止安全绳缠绕、垂降墙角保护等功能，有泄水功能，能合理放置安全钩、下降器，方便携带。</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注：带“▲”参数须在检测报告中体现</w:t>
            </w:r>
            <w:r/>
          </w:p>
        </w:tc>
        <w:tc>
          <w:tcPr>
            <w:tcW w:w="1182" w:type="dxa"/>
            <w:textDirection w:val="lrTb"/>
            <w:noWrap w:val="false"/>
          </w:tcPr>
          <w:p>
            <w:pPr>
              <w:spacing w:after="0" w:line="240" w:lineRule="auto"/>
              <w:rPr>
                <w:rFonts w:hint="eastAsia" w:ascii="宋体" w:hAnsi="宋体" w:eastAsia="宋体" w:cs="宋体"/>
                <w:b/>
                <w:color w:val="000000"/>
                <w:highlight w:val="none"/>
                <w:vertAlign w:val="baseline"/>
              </w:rPr>
            </w:pPr>
            <w:r>
              <w:rPr>
                <w:rFonts w:hint="eastAsia" w:ascii="宋体" w:hAnsi="宋体" w:eastAsia="宋体" w:cs="宋体"/>
                <w:b/>
                <w:color w:val="000000"/>
                <w:highlight w:val="none"/>
                <w:vertAlign w:val="baseline"/>
              </w:rPr>
            </w:r>
            <w:r/>
          </w:p>
        </w:tc>
      </w:tr>
      <w:tr>
        <w:trPr>
          <w:trHeight w:val="3470"/>
        </w:trPr>
        <w:tc>
          <w:tcPr>
            <w:shd w:val="clear" w:color="auto" w:fill="auto"/>
            <w:tcW w:w="494"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W w:w="1315"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救生照明线</w:t>
            </w:r>
            <w:r/>
          </w:p>
        </w:tc>
        <w:tc>
          <w:tcPr>
            <w:tcW w:w="6427"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▲1、符合GB 26783-2011《消防救生照明线》标准要求，提供国家认可的检测机构出具的检测报告，检测(验)报告须带“CMA”标识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2、电源和绕线盘一体化结构设计，无需额外电源箱供电。</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▲3、采用LED光源，线长100米，发光亮度≥100cd/㎡；</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4、整体重量≤8Kg，线体拉力≥300N,绝缘电阻≥500MΩ，最高表面温度≤26℃。</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▲5、具备常亮、闪烁、快闪功能；线盘端和线尾两端均有闪烁模式按键，便于撤退信号下达。</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6、照明线常亮连续工作时间＞8h，闪烁连续工作时间＞16h。</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7、线盘内置高亮照明灯功能，在黑暗的环境中可提供辅助照明。</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8、线盘具有方位灯功能，方便寻回。</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9、线盘具有线缆限位防缠绕功能，快速收纳或快速放开不会缠绕。</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10、防尘防水≥IP66,提供国家认可的检测检验机构出具的检验报告。</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▲11、防爆等级≥ Ex ib IIB T3 Gb，提供国家认可的检测检验机构出具防爆证书。</w:t>
            </w:r>
            <w:r/>
          </w:p>
        </w:tc>
        <w:tc>
          <w:tcPr>
            <w:tcW w:w="1182" w:type="dxa"/>
            <w:textDirection w:val="lrTb"/>
            <w:noWrap w:val="false"/>
          </w:tcPr>
          <w:p>
            <w:pPr>
              <w:spacing w:after="0" w:line="240" w:lineRule="auto"/>
              <w:rPr>
                <w:rFonts w:hint="eastAsia" w:ascii="宋体" w:hAnsi="宋体" w:eastAsia="宋体" w:cs="宋体"/>
                <w:b/>
                <w:color w:val="000000"/>
                <w:highlight w:val="none"/>
                <w:vertAlign w:val="baseline"/>
              </w:rPr>
            </w:pPr>
            <w:r>
              <w:rPr>
                <w:rFonts w:hint="eastAsia" w:ascii="宋体" w:hAnsi="宋体" w:eastAsia="宋体" w:cs="宋体"/>
                <w:b/>
                <w:color w:val="000000"/>
                <w:highlight w:val="none"/>
                <w:vertAlign w:val="baseline"/>
              </w:rPr>
            </w:r>
            <w:r/>
          </w:p>
        </w:tc>
      </w:tr>
      <w:tr>
        <w:trPr>
          <w:trHeight w:val="1627"/>
        </w:trPr>
        <w:tc>
          <w:tcPr>
            <w:shd w:val="clear" w:color="auto" w:fill="auto"/>
            <w:tcW w:w="494"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shd w:val="clear" w:color="auto" w:fill="auto"/>
            <w:tcW w:w="1315"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可燃气体探测仪</w:t>
            </w:r>
            <w:r/>
          </w:p>
        </w:tc>
        <w:tc>
          <w:tcPr>
            <w:tcW w:w="6427"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1、检测气体：空气中的可燃气体；</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2、量程：0—100％LEL；</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3、最小读数：1％LEL；</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4、电池：3.7V锂离子充电电池；</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5、报警：声、光、振动三级报警；</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6、工作温度：-10—40℃ ；</w:t>
            </w:r>
            <w:r>
              <w:rPr>
                <w:rFonts w:hint="eastAsia" w:ascii="宋体" w:hAnsi="宋体" w:eastAsia="宋体" w:cs="宋体"/>
                <w:i w:val="0"/>
                <w:iCs w:val="0"/>
                <w:color w:val="000000"/>
                <w:sz w:val="18"/>
                <w:szCs w:val="18"/>
                <w:u w:val="none"/>
                <w:lang w:val="en-US" w:eastAsia="zh-CN" w:bidi="ar"/>
              </w:rPr>
              <w:br/>
            </w:r>
            <w:r/>
          </w:p>
        </w:tc>
        <w:tc>
          <w:tcPr>
            <w:tcW w:w="1182" w:type="dxa"/>
            <w:textDirection w:val="lrTb"/>
            <w:noWrap w:val="false"/>
          </w:tcPr>
          <w:p>
            <w:pPr>
              <w:spacing w:after="0" w:line="240" w:lineRule="auto"/>
              <w:rPr>
                <w:rFonts w:hint="eastAsia" w:ascii="宋体" w:hAnsi="宋体" w:eastAsia="宋体" w:cs="宋体"/>
                <w:b/>
                <w:color w:val="000000"/>
                <w:highlight w:val="none"/>
                <w:vertAlign w:val="baseline"/>
              </w:rPr>
            </w:pPr>
            <w:r>
              <w:rPr>
                <w:rFonts w:hint="eastAsia" w:ascii="宋体" w:hAnsi="宋体" w:eastAsia="宋体" w:cs="宋体"/>
                <w:b/>
                <w:color w:val="000000"/>
                <w:highlight w:val="none"/>
                <w:vertAlign w:val="baseline"/>
              </w:rPr>
            </w:r>
            <w:r/>
          </w:p>
        </w:tc>
      </w:tr>
      <w:tr>
        <w:trPr>
          <w:trHeight w:val="1627"/>
        </w:trPr>
        <w:tc>
          <w:tcPr>
            <w:shd w:val="clear" w:color="auto" w:fill="auto"/>
            <w:tcW w:w="494"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W w:w="1315"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测温仪</w:t>
            </w:r>
            <w:r/>
          </w:p>
        </w:tc>
        <w:tc>
          <w:tcPr>
            <w:tcW w:w="6427"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1、可预设高、低温危险报警，带背光显示选择功能。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2、镭射目标测量位置，自动读值锁定及自动关机功能，具备数据储存功能。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3、能够摄氏/华氏温度单位转换。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4、测温范围≥-20℃-700℃。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5、电池使用时间≥12小时；可设置声音报警。</w:t>
            </w:r>
            <w:r/>
          </w:p>
        </w:tc>
        <w:tc>
          <w:tcPr>
            <w:tcW w:w="1182" w:type="dxa"/>
            <w:textDirection w:val="lrTb"/>
            <w:noWrap w:val="false"/>
          </w:tcPr>
          <w:p>
            <w:pPr>
              <w:spacing w:after="0" w:line="240" w:lineRule="auto"/>
              <w:rPr>
                <w:rFonts w:hint="eastAsia" w:ascii="宋体" w:hAnsi="宋体" w:eastAsia="宋体" w:cs="宋体"/>
                <w:b/>
                <w:color w:val="000000"/>
                <w:highlight w:val="none"/>
                <w:vertAlign w:val="baseline"/>
              </w:rPr>
            </w:pPr>
            <w:r>
              <w:rPr>
                <w:rFonts w:hint="eastAsia" w:ascii="宋体" w:hAnsi="宋体" w:eastAsia="宋体" w:cs="宋体"/>
                <w:b/>
                <w:color w:val="000000"/>
                <w:highlight w:val="none"/>
                <w:vertAlign w:val="baseline"/>
              </w:rPr>
            </w:r>
            <w:r/>
          </w:p>
        </w:tc>
      </w:tr>
      <w:tr>
        <w:trPr>
          <w:trHeight w:val="2015"/>
        </w:trPr>
        <w:tc>
          <w:tcPr>
            <w:shd w:val="clear" w:color="auto" w:fill="auto"/>
            <w:tcW w:w="494"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auto" w:fill="auto"/>
            <w:tcW w:w="1315"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漏电检测仪</w:t>
            </w:r>
            <w:r/>
          </w:p>
        </w:tc>
        <w:tc>
          <w:tcPr>
            <w:tcW w:w="6427"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1.特性：无需接触电源即可探测安全距离范围内的交流泄漏电源，接近泄露电源时，声光报警，灵敏度可调。</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2.探测电压：120V/50Hz   220V/50Hz 5kV/50Hz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3.适合温度：操作：-30—+50C(-22—122F)，持续时间：2h.</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4.尺寸：≥45mm（直径）X529mm（长）</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5.质量：≤445g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6.电报警声强≥100dB</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7.灵敏：3个档位灵敏度设置</w:t>
            </w:r>
            <w:r/>
          </w:p>
        </w:tc>
        <w:tc>
          <w:tcPr>
            <w:tcW w:w="1182" w:type="dxa"/>
            <w:textDirection w:val="lrTb"/>
            <w:noWrap w:val="false"/>
          </w:tcPr>
          <w:p>
            <w:pPr>
              <w:spacing w:after="0" w:line="240" w:lineRule="auto"/>
              <w:rPr>
                <w:rFonts w:hint="eastAsia" w:ascii="宋体" w:hAnsi="宋体" w:eastAsia="宋体" w:cs="宋体"/>
                <w:b/>
                <w:color w:val="000000"/>
                <w:highlight w:val="none"/>
                <w:vertAlign w:val="baseline"/>
              </w:rPr>
            </w:pPr>
            <w:r>
              <w:rPr>
                <w:rFonts w:hint="eastAsia" w:ascii="宋体" w:hAnsi="宋体" w:eastAsia="宋体" w:cs="宋体"/>
                <w:b/>
                <w:color w:val="000000"/>
                <w:highlight w:val="none"/>
                <w:vertAlign w:val="baseline"/>
              </w:rPr>
            </w:r>
            <w:r/>
          </w:p>
        </w:tc>
      </w:tr>
      <w:tr>
        <w:trPr>
          <w:trHeight w:val="9007"/>
        </w:trPr>
        <w:tc>
          <w:tcPr>
            <w:shd w:val="clear" w:color="auto" w:fill="auto"/>
            <w:tcW w:w="494"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auto"/>
            <w:tcW w:w="1315"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红外热成像仪</w:t>
            </w:r>
            <w:r>
              <w:rPr>
                <w:rFonts w:hint="eastAsia" w:ascii="宋体" w:hAnsi="宋体" w:eastAsia="宋体" w:cs="宋体"/>
                <w:i w:val="0"/>
                <w:iCs w:val="0"/>
                <w:color w:val="000000"/>
                <w:sz w:val="18"/>
                <w:szCs w:val="18"/>
                <w:u w:val="none"/>
                <w:lang w:val="en-US" w:eastAsia="zh-CN" w:bidi="ar"/>
              </w:rPr>
              <w:br/>
            </w:r>
            <w:r/>
          </w:p>
        </w:tc>
        <w:tc>
          <w:tcPr>
            <w:tcW w:w="6427"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▲1、符合XF/T 635-2023《消防用红外热像仪》标准要求,提供国家认可的检测机构出具的检测报告，检测(验)报告须带“CMA”标识；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2.整套设备应由主机,镜头盖, 锂电池座充, 电源适配器, 双头Type-C数据线, USB-A转Type-C数据线, Micro HDMI线, 腕带, 颈带, 硬质便携箱等组成。</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3.显示器：≥4.3英寸彩色液晶屏幕，屏幕亮度支持高中低档位切换，内置电子罗盘。</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4.屏幕追踪：支持中心点温度显示，全屏最高温、最低温实时追踪，具有固定测温区域检测功能，可选择追踪范围大、小。</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▲5.探测器像素：≥375×280。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▲6.测温范围：≥-20℃～1000℃。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7.温度单位：3种温度单位选择设置，包括：℃、℉、K</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8.温度范围：可设置温度检测范围-40℃-150℃；0℃-650℃；500℃-2000℃ 3个档位,具有自动换挡功能，根据测量温度自动切换量程。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9.测温设置：具有发射率、目标距离、相对湿度、反射温度、大气温度、环境温度设置功能。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10.显示模式： 基本消防模式、黑白模式、火场模式、搜救模式、热检测模式、标准红外模式、可见光模式。</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11.画面放大倍率：2倍/4倍/8倍。</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12.报警功能：具有声音、震动、屏幕闪烁报警，支持高、低温报警阈值调节。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▲13.采样帧速率：≥25帧/s。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14.空间分辨率≤2.5mrad。</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15.测距功能：距离单位可以设置m、yd、ft</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16.拍摄方式：可选择拍照、录像、冻结、冻结/拍照四种模式。</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17.存储功能：内置存储≥128GB，可在本机直接查看照片、视频回放，能够直接在本机删除照片及录像，无需外接第三方显示器。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18.照明灯：≥2颗LED照明灯，黑暗环境下用于辅助照明。</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19.定位功能：具有定位功能，屏幕可显示当前经纬度信息。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20.自动关机、休眠功能：可设置5min、10min、20min、30min、40min、50min、60min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21.全中文操作系统，支持多国语言设置功能。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22.主机支持TYPE-C, Micro HDMI, 1/4英寸三脚架接口。</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▲23.在260℃环境温度持续工作时间5min；在120℃环境温度持续工作时间10min；在80℃环境温度持续工作时间30min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24.防护等级：≥IP67。</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25.防爆等级≥Ex ia IIC T4 Ga（提供防爆合格证）。</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26.主机工作时间：≥5小时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注：带“▲”参数须在检测报告中体现。</w:t>
            </w:r>
            <w:r/>
          </w:p>
        </w:tc>
        <w:tc>
          <w:tcPr>
            <w:tcW w:w="1182" w:type="dxa"/>
            <w:vAlign w:val="center"/>
            <w:textDirection w:val="lrTb"/>
            <w:noWrap w:val="false"/>
          </w:tcPr>
          <w:p>
            <w:pPr>
              <w:jc w:val="center"/>
              <w:spacing w:after="0" w:line="240" w:lineRule="auto"/>
              <w:rPr>
                <w:rFonts w:hint="eastAsia" w:ascii="宋体" w:hAnsi="宋体" w:eastAsia="宋体" w:cs="宋体"/>
                <w:b/>
                <w:color w:val="000000"/>
                <w:highlight w:val="none"/>
                <w:vertAlign w:val="baseline"/>
                <w:lang w:eastAsia="zh-CN"/>
              </w:rPr>
            </w:pPr>
            <w:r>
              <w:rPr>
                <w:rFonts w:hint="eastAsia" w:ascii="宋体" w:hAnsi="宋体" w:eastAsia="宋体" w:cs="宋体"/>
                <w:b/>
                <w:color w:val="000000"/>
                <w:highlight w:val="none"/>
                <w:vertAlign w:val="baseline"/>
                <w:lang w:eastAsia="zh-CN"/>
              </w:rPr>
              <w:t xml:space="preserve">核心产品</w:t>
            </w:r>
            <w:r/>
          </w:p>
        </w:tc>
      </w:tr>
      <w:tr>
        <w:trPr>
          <w:trHeight w:val="13098"/>
        </w:trPr>
        <w:tc>
          <w:tcPr>
            <w:shd w:val="clear" w:color="auto" w:fill="auto"/>
            <w:tcW w:w="494"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13</w:t>
            </w:r>
            <w:r/>
          </w:p>
        </w:tc>
        <w:tc>
          <w:tcPr>
            <w:shd w:val="clear" w:color="auto" w:fill="auto"/>
            <w:tcW w:w="1315"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机动液压破拆工具组</w:t>
            </w:r>
            <w:r/>
          </w:p>
        </w:tc>
        <w:tc>
          <w:tcPr>
            <w:tcW w:w="6427"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▲1、液压破拆工具基本符合GB/T17906-2021《液压破拆工具通用技术条件》标准，提供国家认可的检测机构出具的检测报告，检测(验)报告须带“CMA”或“CNAS”标识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2、液压剪切器1台：救援中用于剪切金属结构，管道，异型钢材和钢板。工具上使用星形手控阀可使救援人员在任何位置即使一个手指也能轻松操作，更简单，安全。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1）工作压强≥730巴；</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2）▲最大开口距离≥200mm；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3）▲剪切圆钢（Q235材料）≥35mm，剪切钢板（Q235材料）厚度≥20mm；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4）最大剪切力≥760kN；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5）重量≤15kg；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液压扩张器1台：液压扩张器具有扩张，撕裂功能。该款扩张器在扩张臂下内置了挤压盘，“鲨鱼齿”扩张头，扩张和撕裂操作过程更稳固。工具上使用星形手控阀可使救援人员在任何位置即使一个手指也能轻松操作，更简单，安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1）工作压强≥730巴；</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2）▲最小扩张力≥70KN，最大扩张力≥350KN；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3）▲最大扩张距离≥800mm；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4）最大牵拉力≥55KN；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5）▲重量≤17kg；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4、液压剪扩器1台：液压剪扩器集剪切和扩张功能为一体，救援中具有剪切，扩张功能。工具上使用星形手控阀可使救援人员在任何位置即使一个手指也能轻松操作，更简单，安全。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1）工作压强为730巴，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2）▲最大扩张距离≥380mm;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3）▲剪切圆钢（Q235材料）直径≥35mm，剪切钢板（Q235材料）厚度≥20mm；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4）最小扩张力≥55KN，最大扩张力≥210KN，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5）最大牵拉力≥60KN；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6）▲重量≤15.5kg；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5、液压撑顶器1台：单级液压撑顶器救援中用于移动障碍物，撑顶物体，创造救援通道及保持物体稳定。撑顶器活塞杆末端配有防滑齿，防滑齿可在360度范围内任意旋转，更加便于救援。                                                                                             工具上使用星形手控阀可使救援人员在任何位置即使一个手指也能轻松操作，更简单，安全。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1）工作压强≥730巴;</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2）▲最大撑顶力≥170KN，撑顶行程≥445mm;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3）▲闭合长度≤610mm，撑顶长度≥1055mm；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4）▲重量≤12kg；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液压机动泵1台：液压机动泵，可同时接驳两套工具工作，是液压工具的机动动力源。可带压插拔，配备增压双倍流量功能。采用机械螺纹旋锁式单接口连接方式，360°旋转不打结。采用径向柱塞泵，设计更加高效，使用、维修更方便；</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1）工作压强≥730巴，功率≥2.2KW；</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2）▲双倍流量下，高压流量≥1.3L/min，低压流量≥5.5L/min；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3）液压油箱容量≥3L；</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4）▲重量≤24KG；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7、液压手动泵1台：液压手动泵是液压救援工具的手动动力源，可在有爆炸危险的场合使用，使用简便，灵活，高低压自动调节。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1）工作压强≥730巴；</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2）▲高压流量≥1.55ml/次，低压流量≥15ml/次；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3）重量≤11kg；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8、液压油管2套：采用双油管单接口连接，机械螺纹螺旋式连接方式；</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1）长度≥10m；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2）▲重量≤5kg；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注：带“▲”参数须在检测报告中体现。</w:t>
            </w:r>
            <w:r/>
          </w:p>
        </w:tc>
        <w:tc>
          <w:tcPr>
            <w:tcW w:w="1182" w:type="dxa"/>
            <w:textDirection w:val="lrTb"/>
            <w:noWrap w:val="false"/>
          </w:tcPr>
          <w:p>
            <w:pPr>
              <w:spacing w:after="0" w:line="240" w:lineRule="auto"/>
              <w:rPr>
                <w:rFonts w:hint="eastAsia" w:ascii="宋体" w:hAnsi="宋体" w:eastAsia="宋体" w:cs="宋体"/>
                <w:b/>
                <w:color w:val="000000"/>
                <w:highlight w:val="none"/>
                <w:vertAlign w:val="baseline"/>
              </w:rPr>
            </w:pPr>
            <w:r>
              <w:rPr>
                <w:rFonts w:hint="eastAsia" w:ascii="宋体" w:hAnsi="宋体" w:eastAsia="宋体" w:cs="宋体"/>
                <w:b/>
                <w:color w:val="000000"/>
                <w:highlight w:val="none"/>
                <w:vertAlign w:val="baseline"/>
              </w:rPr>
            </w:r>
            <w:r/>
          </w:p>
        </w:tc>
      </w:tr>
      <w:tr>
        <w:trPr>
          <w:trHeight w:val="2085"/>
        </w:trPr>
        <w:tc>
          <w:tcPr>
            <w:shd w:val="clear" w:color="auto" w:fill="auto"/>
            <w:tcW w:w="494"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fill="auto"/>
            <w:tcW w:w="1315"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哈利根铁铤</w:t>
            </w:r>
            <w:r/>
          </w:p>
        </w:tc>
        <w:tc>
          <w:tcPr>
            <w:tcW w:w="6427"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符合 GB32459-2015《消防应急救援装备手动破拆工具通用技术条件》标准;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1、钢制杆体，杆体表面设置有防滑部，杆体一端羊角撬头，另一端尖镐头和扁镐头；</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2、铁铤头部为高碳钢材质，铁铤表面经处理涂有塑层抗腐蚀防静电；</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3、长度 ≥900mm；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4、重量≤6Kg；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6、撬斧起撬部位能承受载荷＞7800N；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7、配备金属阻门楔。</w:t>
            </w:r>
            <w:r/>
          </w:p>
        </w:tc>
        <w:tc>
          <w:tcPr>
            <w:tcW w:w="1182" w:type="dxa"/>
            <w:textDirection w:val="lrTb"/>
            <w:noWrap w:val="false"/>
          </w:tcPr>
          <w:p>
            <w:pPr>
              <w:spacing w:after="0" w:line="240" w:lineRule="auto"/>
              <w:rPr>
                <w:rFonts w:hint="eastAsia" w:ascii="宋体" w:hAnsi="宋体" w:eastAsia="宋体" w:cs="宋体"/>
                <w:b/>
                <w:color w:val="000000"/>
                <w:highlight w:val="none"/>
                <w:vertAlign w:val="baseline"/>
              </w:rPr>
            </w:pPr>
            <w:r>
              <w:rPr>
                <w:rFonts w:hint="eastAsia" w:ascii="宋体" w:hAnsi="宋体" w:eastAsia="宋体" w:cs="宋体"/>
                <w:b/>
                <w:color w:val="000000"/>
                <w:highlight w:val="none"/>
                <w:vertAlign w:val="baseline"/>
              </w:rPr>
            </w:r>
            <w:r/>
          </w:p>
        </w:tc>
      </w:tr>
      <w:tr>
        <w:trPr>
          <w:trHeight w:val="288"/>
        </w:trPr>
        <w:tc>
          <w:tcPr>
            <w:shd w:val="clear" w:color="auto" w:fill="auto"/>
            <w:tcW w:w="494"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auto"/>
            <w:tcW w:w="1315"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砂轮片</w:t>
            </w:r>
            <w:r/>
          </w:p>
        </w:tc>
        <w:tc>
          <w:tcPr>
            <w:tcW w:w="6427"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规格≥350*25mm。</w:t>
            </w:r>
            <w:r/>
          </w:p>
        </w:tc>
        <w:tc>
          <w:tcPr>
            <w:tcW w:w="1182" w:type="dxa"/>
            <w:textDirection w:val="lrTb"/>
            <w:noWrap w:val="false"/>
          </w:tcPr>
          <w:p>
            <w:pPr>
              <w:spacing w:after="0" w:line="240" w:lineRule="auto"/>
              <w:rPr>
                <w:rFonts w:hint="eastAsia" w:ascii="宋体" w:hAnsi="宋体" w:eastAsia="宋体" w:cs="宋体"/>
                <w:b/>
                <w:color w:val="000000"/>
                <w:highlight w:val="none"/>
                <w:vertAlign w:val="baseline"/>
              </w:rPr>
            </w:pPr>
            <w:r>
              <w:rPr>
                <w:rFonts w:hint="eastAsia" w:ascii="宋体" w:hAnsi="宋体" w:eastAsia="宋体" w:cs="宋体"/>
                <w:b/>
                <w:color w:val="000000"/>
                <w:highlight w:val="none"/>
                <w:vertAlign w:val="baseline"/>
              </w:rPr>
            </w:r>
            <w:r/>
          </w:p>
        </w:tc>
      </w:tr>
      <w:tr>
        <w:trPr>
          <w:trHeight w:val="3470"/>
        </w:trPr>
        <w:tc>
          <w:tcPr>
            <w:shd w:val="clear" w:color="auto" w:fill="auto"/>
            <w:tcW w:w="494"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shd w:val="clear" w:color="auto" w:fill="auto"/>
            <w:tcW w:w="1315"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机动链锯</w:t>
            </w:r>
            <w:r/>
          </w:p>
        </w:tc>
        <w:tc>
          <w:tcPr>
            <w:tcW w:w="6427"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▲1、符合GB/32460-2015《消防应急救援装备、破拆机具通用技术条件》标准，提供国家认可的检测机构出具的检测报告，检测(验)报告须带“CMA”或“CNAS”标识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2、发动机排量：≥54cc；</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▲3、怠速转速：≥3100rpm/min；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4、额定转速：≥9000rpm/min；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▲5、允许最高转速：≥14000rpm/min；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▲6、功率：≥2.6kw；</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7、燃油箱容积：≥0.5L；</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8、润滑油箱容积：≥0.3L；</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9、机油泵流量：9cm/min；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▲10、整机质量：≤5kg；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11、标准导板长度：≥40cm；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12、导板长度范围：33-46cm；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注：带“▲”参数须在检测报告中体现。</w:t>
            </w:r>
            <w:r/>
          </w:p>
        </w:tc>
        <w:tc>
          <w:tcPr>
            <w:tcW w:w="1182" w:type="dxa"/>
            <w:textDirection w:val="lrTb"/>
            <w:noWrap w:val="false"/>
          </w:tcPr>
          <w:p>
            <w:pPr>
              <w:spacing w:after="0" w:line="240" w:lineRule="auto"/>
              <w:rPr>
                <w:rFonts w:hint="eastAsia" w:ascii="宋体" w:hAnsi="宋体" w:eastAsia="宋体" w:cs="宋体"/>
                <w:b/>
                <w:color w:val="000000"/>
                <w:highlight w:val="none"/>
                <w:vertAlign w:val="baseline"/>
              </w:rPr>
            </w:pPr>
            <w:r>
              <w:rPr>
                <w:rFonts w:hint="eastAsia" w:ascii="宋体" w:hAnsi="宋体" w:eastAsia="宋体" w:cs="宋体"/>
                <w:b/>
                <w:color w:val="000000"/>
                <w:highlight w:val="none"/>
                <w:vertAlign w:val="baseline"/>
              </w:rPr>
            </w:r>
            <w:r/>
          </w:p>
        </w:tc>
      </w:tr>
      <w:tr>
        <w:trPr>
          <w:trHeight w:val="1855"/>
        </w:trPr>
        <w:tc>
          <w:tcPr>
            <w:shd w:val="clear" w:color="auto" w:fill="auto"/>
            <w:tcW w:w="494"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17</w:t>
            </w:r>
            <w:r/>
          </w:p>
        </w:tc>
        <w:tc>
          <w:tcPr>
            <w:shd w:val="clear" w:color="auto" w:fill="auto"/>
            <w:tcW w:w="1315"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通用安全绳50米</w:t>
            </w:r>
            <w:r/>
          </w:p>
        </w:tc>
        <w:tc>
          <w:tcPr>
            <w:tcW w:w="6427"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▲1.符合XF 494-2023《消防用防坠落装备》标准，提供国家认可的检测机构出具的检测报告，检测(验)报告须带“CMA”标识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2.材质：尼龙；</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3.直径：12.5mm；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4.破断强度：≥40kN；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5.延伸率：当承重达到最小破断强度的10%时，延伸率8.4%；</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6.耐高温性能：经204℃±5℃的耐高温性能试验后，安全绳无融熔、焦化现象；</w:t>
            </w:r>
            <w:r/>
          </w:p>
        </w:tc>
        <w:tc>
          <w:tcPr>
            <w:tcW w:w="1182" w:type="dxa"/>
            <w:textDirection w:val="lrTb"/>
            <w:noWrap w:val="false"/>
          </w:tcPr>
          <w:p>
            <w:pPr>
              <w:spacing w:after="0" w:line="240" w:lineRule="auto"/>
              <w:rPr>
                <w:rFonts w:hint="eastAsia" w:ascii="宋体" w:hAnsi="宋体" w:eastAsia="宋体" w:cs="宋体"/>
                <w:b/>
                <w:color w:val="000000"/>
                <w:highlight w:val="none"/>
                <w:vertAlign w:val="baseline"/>
              </w:rPr>
            </w:pPr>
            <w:r>
              <w:rPr>
                <w:rFonts w:hint="eastAsia" w:ascii="宋体" w:hAnsi="宋体" w:eastAsia="宋体" w:cs="宋体"/>
                <w:b/>
                <w:color w:val="000000"/>
                <w:highlight w:val="none"/>
                <w:vertAlign w:val="baseline"/>
              </w:rPr>
            </w:r>
            <w:r/>
          </w:p>
        </w:tc>
      </w:tr>
      <w:tr>
        <w:trPr>
          <w:trHeight w:val="1855"/>
        </w:trPr>
        <w:tc>
          <w:tcPr>
            <w:shd w:val="clear" w:color="auto" w:fill="auto"/>
            <w:tcW w:w="494"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shd w:val="clear" w:color="auto" w:fill="auto"/>
            <w:tcW w:w="1315"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轻型安全绳20米</w:t>
            </w:r>
            <w:r/>
          </w:p>
        </w:tc>
        <w:tc>
          <w:tcPr>
            <w:tcW w:w="6427"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▲1、符合XF 494-2023《消防用防坠落装备》标准，提供国家认可的检测机构出具的检测报告，检测(验)报告须带“CMA”标识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2.材质：尼龙；</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3.直径：11mm；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4.破断强度：≥30kN；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5.延伸率：当承重达到最小破断强度的10%时，延伸率8.5%；</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6.耐高温性能：经204℃±5℃的耐高温性能试验后，安全绳无融熔、焦化现象；</w:t>
            </w:r>
            <w:r/>
          </w:p>
        </w:tc>
        <w:tc>
          <w:tcPr>
            <w:tcW w:w="1182" w:type="dxa"/>
            <w:textDirection w:val="lrTb"/>
            <w:noWrap w:val="false"/>
          </w:tcPr>
          <w:p>
            <w:pPr>
              <w:spacing w:after="0" w:line="240" w:lineRule="auto"/>
              <w:rPr>
                <w:rFonts w:hint="eastAsia" w:ascii="宋体" w:hAnsi="宋体" w:eastAsia="宋体" w:cs="宋体"/>
                <w:b/>
                <w:color w:val="000000"/>
                <w:highlight w:val="none"/>
                <w:vertAlign w:val="baseline"/>
              </w:rPr>
            </w:pPr>
            <w:r>
              <w:rPr>
                <w:rFonts w:hint="eastAsia" w:ascii="宋体" w:hAnsi="宋体" w:eastAsia="宋体" w:cs="宋体"/>
                <w:b/>
                <w:color w:val="000000"/>
                <w:highlight w:val="none"/>
                <w:vertAlign w:val="baseline"/>
              </w:rPr>
            </w:r>
            <w:r/>
          </w:p>
        </w:tc>
      </w:tr>
      <w:tr>
        <w:trPr>
          <w:trHeight w:val="4162"/>
        </w:trPr>
        <w:tc>
          <w:tcPr>
            <w:shd w:val="clear" w:color="auto" w:fill="auto"/>
            <w:tcW w:w="494"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19</w:t>
            </w:r>
            <w:r/>
          </w:p>
        </w:tc>
        <w:tc>
          <w:tcPr>
            <w:shd w:val="clear" w:color="auto" w:fill="auto"/>
            <w:tcW w:w="1315"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移动水炮</w:t>
            </w:r>
            <w:r/>
          </w:p>
        </w:tc>
        <w:tc>
          <w:tcPr>
            <w:tcW w:w="6427"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符合GB19156-2019《消防炮》的标准，提供国家认可的检测机构出具的检测报告，检测(验)报告须带“CMA”标识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1.炮头可采用20-30-40可调流量炮头；采用多功能消防炮头，转动炮头，即可调节射流形式，为直流/喷雾</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2.炮身进水口采用 360°无限旋转接口；炮身配有压力表，实时显示消防炮的工作压力；</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3.翻转式撑脚≤180°，将2只支撑脚可折叠便于存放，脚撑上都装有防滑钨钢钉。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4.阀门锁紧装置，当阀门处于关闭状态时锁紧阀门，避免在移动作业过程中误操作打开阀门，造成人员伤害；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5.轻质铝合金材质，表面硬化阳极氧化处理；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6.炮头上下调节角度范围30°-70°，通过螺母固定调整俯仰角度，方便简单，即可实现手动控制射流方向；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7.消防炮标配安全带，安全带配有收纳装置，需快速移动时，可作为背带使用；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8.流量：≥30L/S 额定工作压力：0.6Mpa；</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▲9.射程：≥73m；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10.水平回转角：≥40°、喷雾角最大可达到140°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注：带“▲”参数须在检测报告中体现。</w:t>
            </w:r>
            <w:r/>
          </w:p>
        </w:tc>
        <w:tc>
          <w:tcPr>
            <w:tcW w:w="1182" w:type="dxa"/>
            <w:textDirection w:val="lrTb"/>
            <w:noWrap w:val="false"/>
          </w:tcPr>
          <w:p>
            <w:pPr>
              <w:spacing w:after="0" w:line="240" w:lineRule="auto"/>
              <w:rPr>
                <w:rFonts w:hint="eastAsia" w:ascii="宋体" w:hAnsi="宋体" w:eastAsia="宋体" w:cs="宋体"/>
                <w:b/>
                <w:color w:val="000000"/>
                <w:highlight w:val="none"/>
                <w:vertAlign w:val="baseline"/>
              </w:rPr>
            </w:pPr>
            <w:r>
              <w:rPr>
                <w:rFonts w:hint="eastAsia" w:ascii="宋体" w:hAnsi="宋体" w:eastAsia="宋体" w:cs="宋体"/>
                <w:b/>
                <w:color w:val="000000"/>
                <w:highlight w:val="none"/>
                <w:vertAlign w:val="baseline"/>
              </w:rPr>
            </w:r>
            <w:r/>
          </w:p>
        </w:tc>
      </w:tr>
      <w:tr>
        <w:trPr>
          <w:trHeight w:val="2315"/>
        </w:trPr>
        <w:tc>
          <w:tcPr>
            <w:shd w:val="clear" w:color="auto" w:fill="auto"/>
            <w:tcW w:w="494"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W w:w="1315"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65毫米口径快速接口水带</w:t>
            </w:r>
            <w:r/>
          </w:p>
        </w:tc>
        <w:tc>
          <w:tcPr>
            <w:tcW w:w="6427"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▲1、符合GB6246-2011《消防水带》和消防类产品认证实施规则CCCF-CPRZ-25:2019的标准，提供国家认可的检测机构出具的检测报告，检测(验)报告须带“CMA”标识和消防产品合格评定中心出具的消防产品认证证书；</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2、水带口径为65mm，水带两头均配有65口径的快速接口。带口缠绕铁丝为3道，水带和接口捆绑处有水带护皮保护以防损坏；</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3、标准工作压力≥2.0MPa，爆破压力≥9.6MPa，延伸率为≤0.4%，膨胀 率为≤1.9%，附着力强度为≥85N/25MM,每卷长度为20米；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4、水带一端清楚的标志着生产企业名称、产品名称和规格、生产日期及经线纬线和衬里材料.印刷的相关信息永不掉落。</w:t>
            </w:r>
            <w:r/>
          </w:p>
        </w:tc>
        <w:tc>
          <w:tcPr>
            <w:tcW w:w="1182" w:type="dxa"/>
            <w:textDirection w:val="lrTb"/>
            <w:noWrap w:val="false"/>
          </w:tcPr>
          <w:p>
            <w:pPr>
              <w:spacing w:after="0" w:line="240" w:lineRule="auto"/>
              <w:rPr>
                <w:rFonts w:hint="eastAsia" w:ascii="宋体" w:hAnsi="宋体" w:eastAsia="宋体" w:cs="宋体"/>
                <w:b/>
                <w:color w:val="000000"/>
                <w:highlight w:val="none"/>
                <w:vertAlign w:val="baseline"/>
              </w:rPr>
            </w:pPr>
            <w:r>
              <w:rPr>
                <w:rFonts w:hint="eastAsia" w:ascii="宋体" w:hAnsi="宋体" w:eastAsia="宋体" w:cs="宋体"/>
                <w:b/>
                <w:color w:val="000000"/>
                <w:highlight w:val="none"/>
                <w:vertAlign w:val="baseline"/>
              </w:rPr>
            </w:r>
            <w:r/>
          </w:p>
        </w:tc>
      </w:tr>
      <w:tr>
        <w:trPr>
          <w:trHeight w:val="2544"/>
        </w:trPr>
        <w:tc>
          <w:tcPr>
            <w:shd w:val="clear" w:color="auto" w:fill="auto"/>
            <w:tcW w:w="494"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21</w:t>
            </w:r>
            <w:r/>
          </w:p>
        </w:tc>
        <w:tc>
          <w:tcPr>
            <w:shd w:val="clear" w:color="auto" w:fill="auto"/>
            <w:tcW w:w="1315"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80毫米口径快速接口水带</w:t>
            </w:r>
            <w:r/>
          </w:p>
        </w:tc>
        <w:tc>
          <w:tcPr>
            <w:tcW w:w="6427"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▲1、符合GB6246-2011《消防水带》和消防类产品认证实施规则CCCF-CPRZ-25:2019的标准，提供国家认可的检测机构出具的检测报告，检测(验)报告须带“CMA”标识和消防产品合格评定中心出具的消防产品认证证书；</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2、水带口径为80mm，水带两头均配有80口径的快速接口。带口缠绕铁丝为5道，水带和接口捆绑处有水带护皮保护以防损坏；</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3、内衬材质采用聚氨酯材质，使用寿命长标准工作压力≥2.0MPa，爆破压力≥12MPa，延伸率≤2%，膨胀率≤2.4%，扯断强度≥45MPa，每卷长度为20米；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4、水带一端清楚的标志着生产企业名称、产品名称和规格、生产日期及经线纬线和衬里材料.印刷的相关信息永不掉落。</w:t>
            </w:r>
            <w:r/>
          </w:p>
        </w:tc>
        <w:tc>
          <w:tcPr>
            <w:tcW w:w="1182" w:type="dxa"/>
            <w:textDirection w:val="lrTb"/>
            <w:noWrap w:val="false"/>
          </w:tcPr>
          <w:p>
            <w:pPr>
              <w:spacing w:after="0" w:line="240" w:lineRule="auto"/>
              <w:rPr>
                <w:rFonts w:hint="eastAsia" w:ascii="宋体" w:hAnsi="宋体" w:eastAsia="宋体" w:cs="宋体"/>
                <w:b/>
                <w:color w:val="000000"/>
                <w:highlight w:val="none"/>
                <w:vertAlign w:val="baseline"/>
              </w:rPr>
            </w:pPr>
            <w:r>
              <w:rPr>
                <w:rFonts w:hint="eastAsia" w:ascii="宋体" w:hAnsi="宋体" w:eastAsia="宋体" w:cs="宋体"/>
                <w:b/>
                <w:color w:val="000000"/>
                <w:highlight w:val="none"/>
                <w:vertAlign w:val="baseline"/>
              </w:rPr>
            </w:r>
            <w:r/>
          </w:p>
        </w:tc>
      </w:tr>
      <w:tr>
        <w:trPr>
          <w:trHeight w:val="709"/>
        </w:trPr>
        <w:tc>
          <w:tcPr>
            <w:shd w:val="clear" w:color="auto" w:fill="auto"/>
            <w:tcW w:w="494"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22</w:t>
            </w:r>
            <w:r/>
          </w:p>
        </w:tc>
        <w:tc>
          <w:tcPr>
            <w:shd w:val="clear" w:color="auto" w:fill="auto"/>
            <w:tcW w:w="1315"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水带挂钩</w:t>
            </w:r>
            <w:r/>
          </w:p>
        </w:tc>
        <w:tc>
          <w:tcPr>
            <w:tcW w:w="6427"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1、由帆布带、不锈钢钩和不锈钢半环组成；</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2、自重≤0.48KG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3、承载重量≥300KG</w:t>
            </w:r>
            <w:r/>
          </w:p>
        </w:tc>
        <w:tc>
          <w:tcPr>
            <w:tcW w:w="1182" w:type="dxa"/>
            <w:textDirection w:val="lrTb"/>
            <w:noWrap w:val="false"/>
          </w:tcPr>
          <w:p>
            <w:pPr>
              <w:spacing w:after="0" w:line="240" w:lineRule="auto"/>
              <w:rPr>
                <w:rFonts w:hint="eastAsia" w:ascii="宋体" w:hAnsi="宋体" w:eastAsia="宋体" w:cs="宋体"/>
                <w:b/>
                <w:color w:val="000000"/>
                <w:highlight w:val="none"/>
                <w:vertAlign w:val="baseline"/>
              </w:rPr>
            </w:pPr>
            <w:r>
              <w:rPr>
                <w:rFonts w:hint="eastAsia" w:ascii="宋体" w:hAnsi="宋体" w:eastAsia="宋体" w:cs="宋体"/>
                <w:b/>
                <w:color w:val="000000"/>
                <w:highlight w:val="none"/>
                <w:vertAlign w:val="baseline"/>
              </w:rPr>
            </w:r>
            <w:r/>
          </w:p>
        </w:tc>
      </w:tr>
      <w:tr>
        <w:trPr>
          <w:trHeight w:val="1168"/>
        </w:trPr>
        <w:tc>
          <w:tcPr>
            <w:shd w:val="clear" w:color="auto" w:fill="auto"/>
            <w:tcW w:w="494"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23</w:t>
            </w:r>
            <w:r/>
          </w:p>
        </w:tc>
        <w:tc>
          <w:tcPr>
            <w:shd w:val="clear" w:color="auto" w:fill="auto"/>
            <w:tcW w:w="1315"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水带包布</w:t>
            </w:r>
            <w:r/>
          </w:p>
        </w:tc>
        <w:tc>
          <w:tcPr>
            <w:tcW w:w="6427"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1、用于包裹消防水带破漏处，由帆布带和金属夹钳等零件组成；使用时只要将包布一端穿入夹钳中，夹牢即可；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2、抗拉力强度：抗40KG以上拉力拉扯不断；</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3、单个自重≤400g。</w:t>
            </w:r>
            <w:r/>
          </w:p>
        </w:tc>
        <w:tc>
          <w:tcPr>
            <w:tcW w:w="1182" w:type="dxa"/>
            <w:textDirection w:val="lrTb"/>
            <w:noWrap w:val="false"/>
          </w:tcPr>
          <w:p>
            <w:pPr>
              <w:spacing w:after="0" w:line="240" w:lineRule="auto"/>
              <w:rPr>
                <w:rFonts w:hint="eastAsia" w:ascii="宋体" w:hAnsi="宋体" w:eastAsia="宋体" w:cs="宋体"/>
                <w:b/>
                <w:color w:val="000000"/>
                <w:highlight w:val="none"/>
                <w:vertAlign w:val="baseline"/>
              </w:rPr>
            </w:pPr>
            <w:r>
              <w:rPr>
                <w:rFonts w:hint="eastAsia" w:ascii="宋体" w:hAnsi="宋体" w:eastAsia="宋体" w:cs="宋体"/>
                <w:b/>
                <w:color w:val="000000"/>
                <w:highlight w:val="none"/>
                <w:vertAlign w:val="baseline"/>
              </w:rPr>
            </w:r>
            <w:r/>
          </w:p>
        </w:tc>
      </w:tr>
      <w:tr>
        <w:trPr>
          <w:trHeight w:val="2544"/>
        </w:trPr>
        <w:tc>
          <w:tcPr>
            <w:shd w:val="clear" w:color="auto" w:fill="auto"/>
            <w:tcW w:w="494"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24</w:t>
            </w:r>
            <w:r/>
          </w:p>
        </w:tc>
        <w:tc>
          <w:tcPr>
            <w:shd w:val="clear" w:color="auto" w:fill="auto"/>
            <w:tcW w:w="1315"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三分水器</w:t>
            </w:r>
            <w:r/>
          </w:p>
        </w:tc>
        <w:tc>
          <w:tcPr>
            <w:tcW w:w="6427"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1.符合GA868-2010《分水器和集水器》标准，提供国家认可的检测机构出具的检测报告，检测(验)报告须带“CMA”标识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2、进水口为80mm卡式雄接口，出水口为3×65mm锻造卡式雌接口；</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3、分水器主体采用高强度铝合金铸造成型并经过热处理，阀体采用整体硬质氧化再表面喷塑喷涂，耐腐蚀性好。由高强度大通径塑料球、黄铜球杆、高压乙烯密封圈、耐腐蚀橡胶和锻造铝镁合金手柄等组成；</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4、需自带锁止机构防止训练或实战中球阀自动关闭，进水口位置增加档水装置便于减轻分水器后座力，接口插拔快速牢靠，设有压力表便于观察水压；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5、出水口内径≥57mm，进水口内径≥68mm，最大耐压强度≥6.0MPa；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6、阀门开启力≤128N                                                                   </w:t>
            </w:r>
            <w:r/>
          </w:p>
        </w:tc>
        <w:tc>
          <w:tcPr>
            <w:tcW w:w="1182" w:type="dxa"/>
            <w:textDirection w:val="lrTb"/>
            <w:noWrap w:val="false"/>
          </w:tcPr>
          <w:p>
            <w:pPr>
              <w:spacing w:after="0" w:line="240" w:lineRule="auto"/>
              <w:rPr>
                <w:rFonts w:hint="eastAsia" w:ascii="宋体" w:hAnsi="宋体" w:eastAsia="宋体" w:cs="宋体"/>
                <w:b/>
                <w:color w:val="000000"/>
                <w:highlight w:val="none"/>
                <w:vertAlign w:val="baseline"/>
              </w:rPr>
            </w:pPr>
            <w:r>
              <w:rPr>
                <w:rFonts w:hint="eastAsia" w:ascii="宋体" w:hAnsi="宋体" w:eastAsia="宋体" w:cs="宋体"/>
                <w:b/>
                <w:color w:val="000000"/>
                <w:highlight w:val="none"/>
                <w:vertAlign w:val="baseline"/>
              </w:rPr>
            </w:r>
            <w:r/>
          </w:p>
        </w:tc>
      </w:tr>
      <w:tr>
        <w:trPr>
          <w:trHeight w:val="1397"/>
        </w:trPr>
        <w:tc>
          <w:tcPr>
            <w:shd w:val="clear" w:color="auto" w:fill="auto"/>
            <w:tcW w:w="494"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25</w:t>
            </w:r>
            <w:r/>
          </w:p>
        </w:tc>
        <w:tc>
          <w:tcPr>
            <w:shd w:val="clear" w:color="auto" w:fill="auto"/>
            <w:tcW w:w="1315"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转换接口</w:t>
            </w:r>
            <w:r/>
          </w:p>
        </w:tc>
        <w:tc>
          <w:tcPr>
            <w:tcW w:w="6427"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1.由铝合金压铸而成，表面进行阳极氧化处理，重量轻、强度高、耐腐蚀、连接灵活；</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2.公称压力/MPa：1.6；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3.公称通径/mm：65/80；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4.用于消防水带连接和配置作消防水带、消火栓、分水器等其它消防装备上</w:t>
            </w:r>
            <w:r/>
          </w:p>
        </w:tc>
        <w:tc>
          <w:tcPr>
            <w:tcW w:w="1182" w:type="dxa"/>
            <w:textDirection w:val="lrTb"/>
            <w:noWrap w:val="false"/>
          </w:tcPr>
          <w:p>
            <w:pPr>
              <w:spacing w:after="0" w:line="240" w:lineRule="auto"/>
              <w:rPr>
                <w:rFonts w:hint="eastAsia" w:ascii="宋体" w:hAnsi="宋体" w:eastAsia="宋体" w:cs="宋体"/>
                <w:b/>
                <w:color w:val="000000"/>
                <w:highlight w:val="none"/>
                <w:vertAlign w:val="baseline"/>
              </w:rPr>
            </w:pPr>
            <w:r>
              <w:rPr>
                <w:rFonts w:hint="eastAsia" w:ascii="宋体" w:hAnsi="宋体" w:eastAsia="宋体" w:cs="宋体"/>
                <w:b/>
                <w:color w:val="000000"/>
                <w:highlight w:val="none"/>
                <w:vertAlign w:val="baseline"/>
              </w:rPr>
            </w:r>
            <w:r/>
          </w:p>
        </w:tc>
      </w:tr>
      <w:tr>
        <w:trPr>
          <w:trHeight w:val="1855"/>
        </w:trPr>
        <w:tc>
          <w:tcPr>
            <w:shd w:val="clear" w:color="auto" w:fill="auto"/>
            <w:tcW w:w="494"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26</w:t>
            </w:r>
            <w:r/>
          </w:p>
        </w:tc>
        <w:tc>
          <w:tcPr>
            <w:shd w:val="clear" w:color="auto" w:fill="auto"/>
            <w:tcW w:w="1315"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多功能水枪</w:t>
            </w:r>
            <w:r/>
          </w:p>
        </w:tc>
        <w:tc>
          <w:tcPr>
            <w:tcW w:w="6427"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符合GB 8181-2005《消防水枪》标准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1、主要材质：铝合金；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2、工作压力：≥6bar；</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3、最大喷雾角：≥120°；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4、射程：≥32米；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5、流量：一档：8 升/秒@6bar；二档：6.5升/秒@6bar；三档：4 升/秒@6bar；四档：2.5 升/秒@6bar；五档：枪膛冲洗；</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6、进水口尺寸：2.5寸；内扣式/中压卡式 可选。</w:t>
            </w:r>
            <w:r/>
          </w:p>
        </w:tc>
        <w:tc>
          <w:tcPr>
            <w:tcW w:w="1182" w:type="dxa"/>
            <w:textDirection w:val="lrTb"/>
            <w:noWrap w:val="false"/>
          </w:tcPr>
          <w:p>
            <w:pPr>
              <w:spacing w:after="0" w:line="240" w:lineRule="auto"/>
              <w:rPr>
                <w:rFonts w:hint="eastAsia" w:ascii="宋体" w:hAnsi="宋体" w:eastAsia="宋体" w:cs="宋体"/>
                <w:b/>
                <w:color w:val="000000"/>
                <w:highlight w:val="none"/>
                <w:vertAlign w:val="baseline"/>
              </w:rPr>
            </w:pPr>
            <w:r>
              <w:rPr>
                <w:rFonts w:hint="eastAsia" w:ascii="宋体" w:hAnsi="宋体" w:eastAsia="宋体" w:cs="宋体"/>
                <w:b/>
                <w:color w:val="000000"/>
                <w:highlight w:val="none"/>
                <w:vertAlign w:val="baseline"/>
              </w:rPr>
            </w:r>
            <w:r/>
          </w:p>
        </w:tc>
      </w:tr>
      <w:tr>
        <w:trPr>
          <w:trHeight w:val="709"/>
        </w:trPr>
        <w:tc>
          <w:tcPr>
            <w:shd w:val="clear" w:color="auto" w:fill="auto"/>
            <w:tcW w:w="494"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27</w:t>
            </w:r>
            <w:r/>
          </w:p>
        </w:tc>
        <w:tc>
          <w:tcPr>
            <w:shd w:val="clear" w:color="auto" w:fill="auto"/>
            <w:tcW w:w="1315"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直流水枪</w:t>
            </w:r>
            <w:r/>
          </w:p>
        </w:tc>
        <w:tc>
          <w:tcPr>
            <w:tcW w:w="6427"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符合GB 8181-2005《消防水枪》标准；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1.流量：≥7L/S；</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2.射程：≥28米。</w:t>
            </w:r>
            <w:r/>
          </w:p>
        </w:tc>
        <w:tc>
          <w:tcPr>
            <w:tcW w:w="1182" w:type="dxa"/>
            <w:textDirection w:val="lrTb"/>
            <w:noWrap w:val="false"/>
          </w:tcPr>
          <w:p>
            <w:pPr>
              <w:spacing w:after="0" w:line="240" w:lineRule="auto"/>
              <w:rPr>
                <w:rFonts w:hint="eastAsia" w:ascii="宋体" w:hAnsi="宋体" w:eastAsia="宋体" w:cs="宋体"/>
                <w:b/>
                <w:color w:val="000000"/>
                <w:highlight w:val="none"/>
                <w:vertAlign w:val="baseline"/>
              </w:rPr>
            </w:pPr>
            <w:r>
              <w:rPr>
                <w:rFonts w:hint="eastAsia" w:ascii="宋体" w:hAnsi="宋体" w:eastAsia="宋体" w:cs="宋体"/>
                <w:b/>
                <w:color w:val="000000"/>
                <w:highlight w:val="none"/>
                <w:vertAlign w:val="baseline"/>
              </w:rPr>
            </w:r>
            <w:r/>
          </w:p>
        </w:tc>
      </w:tr>
      <w:tr>
        <w:trPr>
          <w:trHeight w:val="1855"/>
        </w:trPr>
        <w:tc>
          <w:tcPr>
            <w:shd w:val="clear" w:color="auto" w:fill="auto"/>
            <w:tcW w:w="494"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28</w:t>
            </w:r>
            <w:r/>
          </w:p>
        </w:tc>
        <w:tc>
          <w:tcPr>
            <w:shd w:val="clear" w:color="auto" w:fill="auto"/>
            <w:tcW w:w="1315"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50多功能水枪</w:t>
            </w:r>
            <w:r/>
          </w:p>
        </w:tc>
        <w:tc>
          <w:tcPr>
            <w:tcW w:w="6427"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符合GB 8181-2005《消防水枪》标准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1、主要材质：铝合金；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2、工作压力：≥6bar；</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3、最大喷雾角：≥120°；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4、射程：≥32米；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5、流量：一档：8 升/秒@6bar；二档：6.5升/秒@6bar；三档：4 升/秒@6bar；四档：2.5 升/秒@6bar；五档：枪膛冲洗</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6、进水口尺寸：2 寸；内扣式/中压卡式 可选。</w:t>
            </w:r>
            <w:r/>
          </w:p>
        </w:tc>
        <w:tc>
          <w:tcPr>
            <w:tcW w:w="1182" w:type="dxa"/>
            <w:textDirection w:val="lrTb"/>
            <w:noWrap w:val="false"/>
          </w:tcPr>
          <w:p>
            <w:pPr>
              <w:spacing w:after="0" w:line="240" w:lineRule="auto"/>
              <w:rPr>
                <w:rFonts w:hint="eastAsia" w:ascii="宋体" w:hAnsi="宋体" w:eastAsia="宋体" w:cs="宋体"/>
                <w:b/>
                <w:color w:val="000000"/>
                <w:highlight w:val="none"/>
                <w:vertAlign w:val="baseline"/>
              </w:rPr>
            </w:pPr>
            <w:r>
              <w:rPr>
                <w:rFonts w:hint="eastAsia" w:ascii="宋体" w:hAnsi="宋体" w:eastAsia="宋体" w:cs="宋体"/>
                <w:b/>
                <w:color w:val="000000"/>
                <w:highlight w:val="none"/>
                <w:vertAlign w:val="baseline"/>
              </w:rPr>
            </w:r>
            <w:r/>
          </w:p>
        </w:tc>
      </w:tr>
      <w:tr>
        <w:trPr>
          <w:trHeight w:val="709"/>
        </w:trPr>
        <w:tc>
          <w:tcPr>
            <w:shd w:val="clear" w:color="auto" w:fill="auto"/>
            <w:tcW w:w="494"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29</w:t>
            </w:r>
            <w:r/>
          </w:p>
        </w:tc>
        <w:tc>
          <w:tcPr>
            <w:shd w:val="clear" w:color="auto" w:fill="auto"/>
            <w:tcW w:w="1315"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50直流水枪</w:t>
            </w:r>
            <w:r/>
          </w:p>
        </w:tc>
        <w:tc>
          <w:tcPr>
            <w:tcW w:w="6427"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符合GB 8181-2005《消防水枪》标准。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1.流量：≥7L/S；</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2.射程：≥28米。</w:t>
            </w:r>
            <w:r/>
          </w:p>
        </w:tc>
        <w:tc>
          <w:tcPr>
            <w:tcW w:w="1182" w:type="dxa"/>
            <w:textDirection w:val="lrTb"/>
            <w:noWrap w:val="false"/>
          </w:tcPr>
          <w:p>
            <w:pPr>
              <w:spacing w:after="0" w:line="240" w:lineRule="auto"/>
              <w:rPr>
                <w:rFonts w:hint="eastAsia" w:ascii="宋体" w:hAnsi="宋体" w:eastAsia="宋体" w:cs="宋体"/>
                <w:b/>
                <w:color w:val="000000"/>
                <w:highlight w:val="none"/>
                <w:vertAlign w:val="baseline"/>
              </w:rPr>
            </w:pPr>
            <w:r>
              <w:rPr>
                <w:rFonts w:hint="eastAsia" w:ascii="宋体" w:hAnsi="宋体" w:eastAsia="宋体" w:cs="宋体"/>
                <w:b/>
                <w:color w:val="000000"/>
                <w:highlight w:val="none"/>
                <w:vertAlign w:val="baseline"/>
              </w:rPr>
            </w:r>
            <w:r/>
          </w:p>
        </w:tc>
      </w:tr>
      <w:tr>
        <w:trPr>
          <w:trHeight w:val="2665"/>
        </w:trPr>
        <w:tc>
          <w:tcPr>
            <w:shd w:val="clear" w:color="auto" w:fill="auto"/>
            <w:tcW w:w="494"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W w:w="1315"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50水带</w:t>
            </w:r>
            <w:r/>
          </w:p>
        </w:tc>
        <w:tc>
          <w:tcPr>
            <w:tcW w:w="6427"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1、符合GB6246-2011《消防水带》和消防类产品认证实施规则CCCF-CPRZ-25:2019的标准，提供国家认可的检测机构出具的检测报告，检测(验)报告须带“CMA”标识和消防产品合格评定中心出具的消防产品认证证书；</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2、水带口径为50mm，内衬材质采用优质聚氨酯（耐寒耐高温），标准工作压力≥1.6MPa，爆破压力≥5.6MPa，延伸率为≤3.0%，膨胀率为≤2.0%，附着力强度为≥36N/25MM,扯断伸长率≥430，每卷长度为20米；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3、水带两头均配有50口径的快速接口。带口缠绕铁丝为3道，水带和接口捆绑处有水带护皮保护以防损坏；</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4、水带一端清楚的标志着生产企业名称、产品名称和规格、生产日期及经线纬线和衬里材料.印刷的相关信息永不掉落。</w:t>
            </w:r>
            <w:r/>
          </w:p>
        </w:tc>
        <w:tc>
          <w:tcPr>
            <w:tcW w:w="1182" w:type="dxa"/>
            <w:textDirection w:val="lrTb"/>
            <w:noWrap w:val="false"/>
          </w:tcPr>
          <w:p>
            <w:pPr>
              <w:spacing w:after="0" w:line="240" w:lineRule="auto"/>
              <w:rPr>
                <w:rFonts w:hint="eastAsia" w:ascii="宋体" w:hAnsi="宋体" w:eastAsia="宋体" w:cs="宋体"/>
                <w:b/>
                <w:color w:val="000000"/>
                <w:highlight w:val="none"/>
                <w:vertAlign w:val="baseline"/>
              </w:rPr>
            </w:pPr>
            <w:r>
              <w:rPr>
                <w:rFonts w:hint="eastAsia" w:ascii="宋体" w:hAnsi="宋体" w:eastAsia="宋体" w:cs="宋体"/>
                <w:b/>
                <w:color w:val="000000"/>
                <w:highlight w:val="none"/>
                <w:vertAlign w:val="baseline"/>
              </w:rPr>
            </w:r>
            <w:r/>
          </w:p>
        </w:tc>
      </w:tr>
      <w:tr>
        <w:trPr>
          <w:trHeight w:val="1397"/>
        </w:trPr>
        <w:tc>
          <w:tcPr>
            <w:shd w:val="clear" w:color="auto" w:fill="auto"/>
            <w:tcW w:w="494"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31</w:t>
            </w:r>
            <w:r/>
          </w:p>
        </w:tc>
        <w:tc>
          <w:tcPr>
            <w:shd w:val="clear" w:color="auto" w:fill="auto"/>
            <w:tcW w:w="1315"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50三分水器</w:t>
            </w:r>
            <w:r/>
          </w:p>
        </w:tc>
        <w:tc>
          <w:tcPr>
            <w:tcW w:w="6427"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接口：采用锻造工艺，表面金色阳极氧化防腐处理；阀体：采用压铸工艺，表面红色喷塑防腐处理；手柄：采用锻造工艺，表面阳极氧化防腐处理；球体：选用铝合金材质，减压式T型通孔球体，表面黑色阳极氧化防腐处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2、阀门开启力（N）≤87；</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3、进水口：80，出水口：50*3</w:t>
            </w:r>
            <w:r/>
          </w:p>
        </w:tc>
        <w:tc>
          <w:tcPr>
            <w:tcW w:w="1182" w:type="dxa"/>
            <w:textDirection w:val="lrTb"/>
            <w:noWrap w:val="false"/>
          </w:tcPr>
          <w:p>
            <w:pPr>
              <w:spacing w:after="0" w:line="240" w:lineRule="auto"/>
              <w:rPr>
                <w:rFonts w:hint="eastAsia" w:ascii="宋体" w:hAnsi="宋体" w:eastAsia="宋体" w:cs="宋体"/>
                <w:b/>
                <w:color w:val="000000"/>
                <w:highlight w:val="none"/>
                <w:vertAlign w:val="baseline"/>
              </w:rPr>
            </w:pPr>
            <w:r>
              <w:rPr>
                <w:rFonts w:hint="eastAsia" w:ascii="宋体" w:hAnsi="宋体" w:eastAsia="宋体" w:cs="宋体"/>
                <w:b/>
                <w:color w:val="000000"/>
                <w:highlight w:val="none"/>
                <w:vertAlign w:val="baseline"/>
              </w:rPr>
            </w:r>
            <w:r/>
          </w:p>
        </w:tc>
      </w:tr>
      <w:tr>
        <w:trPr>
          <w:trHeight w:val="937"/>
        </w:trPr>
        <w:tc>
          <w:tcPr>
            <w:shd w:val="clear" w:color="auto" w:fill="auto"/>
            <w:tcW w:w="494"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32</w:t>
            </w:r>
            <w:r/>
          </w:p>
        </w:tc>
        <w:tc>
          <w:tcPr>
            <w:shd w:val="clear" w:color="auto" w:fill="auto"/>
            <w:tcW w:w="1315"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50转换接口</w:t>
            </w:r>
            <w:r/>
          </w:p>
        </w:tc>
        <w:tc>
          <w:tcPr>
            <w:tcW w:w="6427"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1.由铝合金压铸而成，表面进行阳极氧化处理，重量轻、强度高、耐腐蚀、连接灵活；</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2.公称压力/MPa：1.6；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3.公称通径/mm：65\50；                  </w:t>
            </w:r>
            <w:r/>
          </w:p>
        </w:tc>
        <w:tc>
          <w:tcPr>
            <w:tcW w:w="1182" w:type="dxa"/>
            <w:textDirection w:val="lrTb"/>
            <w:noWrap w:val="false"/>
          </w:tcPr>
          <w:p>
            <w:pPr>
              <w:spacing w:after="0" w:line="240" w:lineRule="auto"/>
              <w:rPr>
                <w:rFonts w:hint="eastAsia" w:ascii="宋体" w:hAnsi="宋体" w:eastAsia="宋体" w:cs="宋体"/>
                <w:b/>
                <w:color w:val="000000"/>
                <w:highlight w:val="none"/>
                <w:vertAlign w:val="baseline"/>
              </w:rPr>
            </w:pPr>
            <w:r>
              <w:rPr>
                <w:rFonts w:hint="eastAsia" w:ascii="宋体" w:hAnsi="宋体" w:eastAsia="宋体" w:cs="宋体"/>
                <w:b/>
                <w:color w:val="000000"/>
                <w:highlight w:val="none"/>
                <w:vertAlign w:val="baseline"/>
              </w:rPr>
            </w:r>
            <w:r/>
          </w:p>
        </w:tc>
      </w:tr>
      <w:tr>
        <w:trPr>
          <w:trHeight w:val="3240"/>
        </w:trPr>
        <w:tc>
          <w:tcPr>
            <w:shd w:val="clear" w:color="auto" w:fill="auto"/>
            <w:tcW w:w="494"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33</w:t>
            </w:r>
            <w:r/>
          </w:p>
        </w:tc>
        <w:tc>
          <w:tcPr>
            <w:shd w:val="clear" w:color="auto" w:fill="auto"/>
            <w:tcW w:w="1315"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六米拉梯</w:t>
            </w:r>
            <w:r/>
          </w:p>
        </w:tc>
        <w:tc>
          <w:tcPr>
            <w:tcW w:w="6427"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符合XF137-2007《消防梯》标准要求，提供国家认可的检测机构出具的检测报告，检测(验)报告须带“CMA”标识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1、消防梯外表面光滑无毛刺，表面涂有不导电的涂料保护，竹表面呈桔黄色，金属零件镀锌并涂有黑色磁漆。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2、拉梯的撑脚采用优质金属制造，工作时能可靠支撑在梯蹬上。拉梯在展开和缩合的过程中，其限位装置牢固可靠。</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3、工作高度：6±0.2m。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4、最小梯宽：300±3mm。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5、梯蹬间距：280±2mm。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6、整梯质量：≤25.5kg。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7、梯节扭转角：≤12°。</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8、水平弯曲残余变形比值：≤0.13％。</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9、梯蹬弯曲残余变形比值：≤0.10％。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10、侧板摇摆残余变形比值≤0.12％。</w:t>
            </w:r>
            <w:r/>
          </w:p>
        </w:tc>
        <w:tc>
          <w:tcPr>
            <w:tcW w:w="1182" w:type="dxa"/>
            <w:textDirection w:val="lrTb"/>
            <w:noWrap w:val="false"/>
          </w:tcPr>
          <w:p>
            <w:pPr>
              <w:spacing w:after="0" w:line="240" w:lineRule="auto"/>
              <w:rPr>
                <w:rFonts w:hint="eastAsia" w:ascii="宋体" w:hAnsi="宋体" w:eastAsia="宋体" w:cs="宋体"/>
                <w:b/>
                <w:color w:val="000000"/>
                <w:highlight w:val="none"/>
                <w:vertAlign w:val="baseline"/>
              </w:rPr>
            </w:pPr>
            <w:r>
              <w:rPr>
                <w:rFonts w:hint="eastAsia" w:ascii="宋体" w:hAnsi="宋体" w:eastAsia="宋体" w:cs="宋体"/>
                <w:b/>
                <w:color w:val="000000"/>
                <w:highlight w:val="none"/>
                <w:vertAlign w:val="baseline"/>
              </w:rPr>
            </w:r>
            <w:r/>
          </w:p>
        </w:tc>
      </w:tr>
      <w:tr>
        <w:trPr>
          <w:trHeight w:val="2778"/>
        </w:trPr>
        <w:tc>
          <w:tcPr>
            <w:shd w:val="clear" w:color="auto" w:fill="auto"/>
            <w:tcW w:w="494"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34</w:t>
            </w:r>
            <w:r/>
          </w:p>
        </w:tc>
        <w:tc>
          <w:tcPr>
            <w:shd w:val="clear" w:color="auto" w:fill="auto"/>
            <w:tcW w:w="1315"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挂钩梯</w:t>
            </w:r>
            <w:r/>
          </w:p>
        </w:tc>
        <w:tc>
          <w:tcPr>
            <w:tcW w:w="6427"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符合XF/GA 137-2007《消防梯》标准要求，提供国家认可的检测机构出具的检测报告，检测(验)报告须带“CMA”标识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1、采用高强度铝合金材料做侧板、梯蹬为竹木材质、6mm厚钢板激光切割一体成形的固定钢钩；</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2、工作高度：4±0.1m；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3、最小梯宽：250±2mm；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4、梯蹬间距：340±2mm；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5、整梯质量：≤8.5kg；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6、梯节扭转角：≤20°；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7、水平弯曲残余变形比值：≤0.2％；</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8、梯蹬弯曲残余变形比值：≤0.5％；</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9、侧板摇摆残余变形比值：≤0.3％；</w:t>
            </w:r>
            <w:r/>
          </w:p>
        </w:tc>
        <w:tc>
          <w:tcPr>
            <w:tcW w:w="1182" w:type="dxa"/>
            <w:textDirection w:val="lrTb"/>
            <w:noWrap w:val="false"/>
          </w:tcPr>
          <w:p>
            <w:pPr>
              <w:spacing w:after="0" w:line="240" w:lineRule="auto"/>
              <w:rPr>
                <w:rFonts w:hint="eastAsia" w:ascii="宋体" w:hAnsi="宋体" w:eastAsia="宋体" w:cs="宋体"/>
                <w:b/>
                <w:color w:val="000000"/>
                <w:highlight w:val="none"/>
                <w:vertAlign w:val="baseline"/>
              </w:rPr>
            </w:pPr>
            <w:r>
              <w:rPr>
                <w:rFonts w:hint="eastAsia" w:ascii="宋体" w:hAnsi="宋体" w:eastAsia="宋体" w:cs="宋体"/>
                <w:b/>
                <w:color w:val="000000"/>
                <w:highlight w:val="none"/>
                <w:vertAlign w:val="baseline"/>
              </w:rPr>
            </w:r>
            <w:r/>
          </w:p>
        </w:tc>
      </w:tr>
      <w:tr>
        <w:trPr>
          <w:trHeight w:val="13851"/>
        </w:trPr>
        <w:tc>
          <w:tcPr>
            <w:shd w:val="clear" w:color="auto" w:fill="auto"/>
            <w:tcW w:w="494"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35</w:t>
            </w:r>
            <w:r/>
          </w:p>
        </w:tc>
        <w:tc>
          <w:tcPr>
            <w:shd w:val="clear" w:color="auto" w:fill="auto"/>
            <w:tcW w:w="1315"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5G球机</w:t>
            </w:r>
            <w:r/>
          </w:p>
        </w:tc>
        <w:tc>
          <w:tcPr>
            <w:tcW w:w="6427"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一、基本描述</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1、结构组成：布控球主机、防护箱、托盘、三脚支架、蓝牙耳机、充电线、球机安全绳、有线手咪和车载充电器。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2、主要应用场景：用于消防员灭火救援作业现场图像实施传输。</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二、标准规范及检验报告</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▲3、提供国家认定的具有CMA或CNAS资质的权威检验机构出具的检测报告。</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▲4、产品通过基于GB16796-2022、GB/T 17626.2-2018、GB/T 17626.3-2016、GB/T 17626.5-2019、GB/T 15211-2013、GA/T645-2014检测依据。                                                            三、检验报告中可体现的参数</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▲5、产品要求具备双电源接口，1报警输入和1报警输出接口，双TF卡，4G+5G卡位，双扬声器、具备debug接口及复位按钮（以检测报告为准）。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6、支持近距离红外补光，远距离激光补光，可看清距样机100m处人体轮廓，补光角度：激光：≤15°，红外：≤60°。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▲7、内置双扬声器，可自定义文本转语音播报，样机可外接有线手咪或无线蓝牙手咪，支持双向语音，支持集群对讲（可提供检测报告复印件）。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▲8、设备要求支持在-30-60℃下能正常工作（可提供检测报告复印件）。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设备静电放电抗扰度应符合GB/T17626.2-2018中试验等级3的规定，射频电磁场辐射抗扰度应符合GB/T17626.3-2016中试验等级3的规定，浪涌（冲击）抗扰度应符合GB/T17626.5-2019中试验等级4的规定，设备的电源插头或电源引入端与外壳裸露金属部件之间，应能承受GB16796-2022中表2规定的交流电的抗电强度试验，历时1min应无击穿和飞弧现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10、设备外壳防护符合GB/T4208-2017中IP66的规定，带包装跌落高度1.5m跌落后，设备能正常工作。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11、产品尺寸直径≤200mm，高度≤300mm。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12、云台支持水平360°连续转动、垂直-20°-90°转动，水平转速≥120°/s，垂直转速≥30°/s。</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13、支持变倍控制、隐私区域遮挡、支持3D定位。</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14、编码算法支持H.264和H.265。</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15、要求支持视频双码流，双码流规格均支持1920×1080/1280x720/640x480，帧率1-30帧/秒可调，码流64kbps~10Mbps可设置。</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16、支持图片抓拍，抓拍图片支持保存到本地或上传到服务器，且可在本地检索回放，图片分辨率支持1920×1080/1280x720/640x480。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17、支持在输出的图像中叠加中文文字和符号信息，信息至少包括：时间、经纬度、名称等。支持根据分辨率适配字体大小：VGA：32*32、720P：48*48、1080P：64*64。</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18、网络通信功能：支持5G、4G通信；支持WiFi通信、AP热点通信，可通过手动或语音切换WiFi与AP热点模式；支持以太网，    10/100自适应全双工模式；支持蓝牙通信，可搜索蓝牙设备列表选择配对，并可保存配对信息和自动连接。</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19、可持双TF卡存储，单卡最大可支持512GB，存储格式具有流式文件和电脑通用文件格式可选，存储的录像文件支持通过有线和无线方式导出。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20、设备内置北斗定位模块，内置定位天线，仅北斗定位模式，支持将定位数据上传至服务器，同时支持可离线补传定位数据。</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21、设备采用宽电源设计，DC8V-36V范围内，样机可正常工作，并支持ACC信号开关机；设备自带液晶显示屏，支持查看当前拨号、电量、网络、录像、定位和存储状态。</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22、支持远程配置设备参数，包括视频参数、网络参数、音频参数、定位参数、远程升级和恢复出厂设置等；支持通过手机连接样机AP热点，并可实现预览视频，双向语音对讲，录像查询、回放，以及视频/网络/音频/定位等参数配置功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▲23、设备电池支持在192</w:t>
            </w:r>
            <w:r>
              <w:rPr>
                <w:rFonts w:hint="eastAsia" w:ascii="宋体" w:hAnsi="宋体" w:eastAsia="宋体" w:cs="宋体"/>
                <w:i w:val="0"/>
                <w:iCs w:val="0"/>
                <w:color w:val="000000"/>
                <w:sz w:val="18"/>
                <w:szCs w:val="18"/>
                <w:u w:val="none"/>
                <w:lang w:val="en-US" w:eastAsia="zh-CN" w:bidi="ar"/>
              </w:rPr>
              <w:t xml:space="preserve">0×1080,25帧/s并开启本地录像条件下，连续工作时间≥12h，支持电池电量的显示值可以1%的精度递增或递减，支持通过语音、蜂鸣器、指示灯方式提示低电压报警，并支持报警时间上传至服务器（可提供检测报告复印件）。                                                                                                                                          四、非检验报告内参数。</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★24、可无缝接入江苏省消防救援总队互联网图像管理平台（投标人需提交接入承诺函）。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25、设备配套应具以下附件：箱子1个、电源适配器1个、三脚架1个、托盘1个、有线手咪、蓝牙耳机1个、车载充电器1个。</w:t>
            </w:r>
            <w:r/>
          </w:p>
        </w:tc>
        <w:tc>
          <w:tcPr>
            <w:tcW w:w="1182" w:type="dxa"/>
            <w:textDirection w:val="lrTb"/>
            <w:noWrap w:val="false"/>
          </w:tcPr>
          <w:p>
            <w:pPr>
              <w:spacing w:after="0" w:line="240" w:lineRule="auto"/>
              <w:rPr>
                <w:rFonts w:hint="eastAsia" w:ascii="宋体" w:hAnsi="宋体" w:eastAsia="宋体" w:cs="宋体"/>
                <w:b/>
                <w:color w:val="000000"/>
                <w:highlight w:val="none"/>
                <w:vertAlign w:val="baseline"/>
              </w:rPr>
            </w:pPr>
            <w:r>
              <w:rPr>
                <w:rFonts w:hint="eastAsia" w:ascii="宋体" w:hAnsi="宋体" w:eastAsia="宋体" w:cs="宋体"/>
                <w:b/>
                <w:color w:val="000000"/>
                <w:highlight w:val="none"/>
                <w:vertAlign w:val="baseline"/>
              </w:rPr>
            </w:r>
            <w:r/>
          </w:p>
        </w:tc>
      </w:tr>
      <w:tr>
        <w:trPr>
          <w:trHeight w:val="2007"/>
        </w:trPr>
        <w:tc>
          <w:tcPr>
            <w:shd w:val="clear" w:color="auto" w:fill="auto"/>
            <w:tcW w:w="494"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36</w:t>
            </w:r>
            <w:r/>
          </w:p>
        </w:tc>
        <w:tc>
          <w:tcPr>
            <w:shd w:val="clear" w:color="auto" w:fill="auto"/>
            <w:tcW w:w="1315"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防爆电台</w:t>
            </w:r>
            <w:r/>
          </w:p>
        </w:tc>
        <w:tc>
          <w:tcPr>
            <w:tcW w:w="6427"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1、高清晰度数字对讲机，在工作场所通信清晰明了，通信距离1-5公里。</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2、电池续航：待机时长＞2天，连续使用时间＞8小时。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3、使用环境温度:-20~+50C。</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4、射频发射功率不大于35W。</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5、防护等级≥IP68。</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▲6、防爆等级：不低于Ex ib IIC T4 Gb和Ex ib IIIC T130℃ Db ，提供国家认可的权威机构出具的防爆合格证并加盖投标供应商公章。      </w:t>
            </w:r>
            <w:r/>
          </w:p>
        </w:tc>
        <w:tc>
          <w:tcPr>
            <w:tcW w:w="1182" w:type="dxa"/>
            <w:textDirection w:val="lrTb"/>
            <w:noWrap w:val="false"/>
          </w:tcPr>
          <w:p>
            <w:pPr>
              <w:spacing w:after="0" w:line="240" w:lineRule="auto"/>
              <w:rPr>
                <w:rFonts w:hint="eastAsia" w:ascii="宋体" w:hAnsi="宋体" w:eastAsia="宋体" w:cs="宋体"/>
                <w:b/>
                <w:color w:val="000000"/>
                <w:highlight w:val="none"/>
                <w:vertAlign w:val="baseline"/>
              </w:rPr>
            </w:pPr>
            <w:r>
              <w:rPr>
                <w:rFonts w:hint="eastAsia" w:ascii="宋体" w:hAnsi="宋体" w:eastAsia="宋体" w:cs="宋体"/>
                <w:b/>
                <w:color w:val="000000"/>
                <w:highlight w:val="none"/>
                <w:vertAlign w:val="baseline"/>
              </w:rPr>
            </w:r>
            <w:r/>
          </w:p>
        </w:tc>
      </w:tr>
      <w:tr>
        <w:trPr>
          <w:trHeight w:val="288"/>
        </w:trPr>
        <w:tc>
          <w:tcPr>
            <w:shd w:val="clear" w:color="auto" w:fill="auto"/>
            <w:tcW w:w="494"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37</w:t>
            </w:r>
            <w:r/>
          </w:p>
        </w:tc>
        <w:tc>
          <w:tcPr>
            <w:shd w:val="clear" w:color="auto" w:fill="auto"/>
            <w:tcW w:w="1315"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折叠担架</w:t>
            </w:r>
            <w:r/>
          </w:p>
        </w:tc>
        <w:tc>
          <w:tcPr>
            <w:tcW w:w="6427"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可折叠，承重不小于 120kg</w:t>
            </w:r>
            <w:r/>
          </w:p>
        </w:tc>
        <w:tc>
          <w:tcPr>
            <w:tcW w:w="1182" w:type="dxa"/>
            <w:textDirection w:val="lrTb"/>
            <w:noWrap w:val="false"/>
          </w:tcPr>
          <w:p>
            <w:pPr>
              <w:spacing w:after="0" w:line="240" w:lineRule="auto"/>
              <w:rPr>
                <w:rFonts w:hint="eastAsia" w:ascii="宋体" w:hAnsi="宋体" w:eastAsia="宋体" w:cs="宋体"/>
                <w:b/>
                <w:color w:val="000000"/>
                <w:highlight w:val="none"/>
                <w:vertAlign w:val="baseline"/>
              </w:rPr>
            </w:pPr>
            <w:r>
              <w:rPr>
                <w:rFonts w:hint="eastAsia" w:ascii="宋体" w:hAnsi="宋体" w:eastAsia="宋体" w:cs="宋体"/>
                <w:b/>
                <w:color w:val="000000"/>
                <w:highlight w:val="none"/>
                <w:vertAlign w:val="baseline"/>
              </w:rPr>
            </w:r>
            <w:r/>
          </w:p>
        </w:tc>
      </w:tr>
      <w:tr>
        <w:trPr>
          <w:trHeight w:val="937"/>
        </w:trPr>
        <w:tc>
          <w:tcPr>
            <w:shd w:val="clear" w:color="auto" w:fill="auto"/>
            <w:tcW w:w="494"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38</w:t>
            </w:r>
            <w:r/>
          </w:p>
        </w:tc>
        <w:tc>
          <w:tcPr>
            <w:shd w:val="clear" w:color="auto" w:fill="auto"/>
            <w:tcW w:w="1315"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伤员固定抬板</w:t>
            </w:r>
            <w:r/>
          </w:p>
        </w:tc>
        <w:tc>
          <w:tcPr>
            <w:tcW w:w="6427"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1.担架配有安全带,安全带尺寸可调节。配头部固定器和颈托。</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2.四周设有多个把手孔方便医护人员搬运伤员</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3.承重不小于180KG</w:t>
            </w:r>
            <w:r/>
          </w:p>
        </w:tc>
        <w:tc>
          <w:tcPr>
            <w:tcW w:w="1182" w:type="dxa"/>
            <w:textDirection w:val="lrTb"/>
            <w:noWrap w:val="false"/>
          </w:tcPr>
          <w:p>
            <w:pPr>
              <w:spacing w:after="0" w:line="240" w:lineRule="auto"/>
              <w:rPr>
                <w:rFonts w:hint="eastAsia" w:ascii="宋体" w:hAnsi="宋体" w:eastAsia="宋体" w:cs="宋体"/>
                <w:b/>
                <w:color w:val="000000"/>
                <w:highlight w:val="none"/>
                <w:vertAlign w:val="baseline"/>
              </w:rPr>
            </w:pPr>
            <w:r>
              <w:rPr>
                <w:rFonts w:hint="eastAsia" w:ascii="宋体" w:hAnsi="宋体" w:eastAsia="宋体" w:cs="宋体"/>
                <w:b/>
                <w:color w:val="000000"/>
                <w:highlight w:val="none"/>
                <w:vertAlign w:val="baseline"/>
              </w:rPr>
            </w:r>
            <w:r/>
          </w:p>
        </w:tc>
      </w:tr>
      <w:tr>
        <w:trPr>
          <w:trHeight w:val="1397"/>
        </w:trPr>
        <w:tc>
          <w:tcPr>
            <w:shd w:val="clear" w:color="auto" w:fill="auto"/>
            <w:tcW w:w="494"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39</w:t>
            </w:r>
            <w:r/>
          </w:p>
        </w:tc>
        <w:tc>
          <w:tcPr>
            <w:shd w:val="clear" w:color="auto" w:fill="auto"/>
            <w:tcW w:w="1315"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扁带</w:t>
            </w:r>
            <w:r/>
          </w:p>
        </w:tc>
        <w:tc>
          <w:tcPr>
            <w:tcW w:w="6427"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1、符合XF 494-2023《消防用防坠落装备》标准，提供国家认可的检测机构出具的检测报告，检测(验)报告须带“CMA”标识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2、材质:特多龙(高强涤纶)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3、宽度:(18±1)mm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4、长度:160cm(允差为土2cm)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5、最小破断强度:≥22KN</w:t>
            </w:r>
            <w:r/>
          </w:p>
        </w:tc>
        <w:tc>
          <w:tcPr>
            <w:tcW w:w="1182" w:type="dxa"/>
            <w:textDirection w:val="lrTb"/>
            <w:noWrap w:val="false"/>
          </w:tcPr>
          <w:p>
            <w:pPr>
              <w:spacing w:after="0" w:line="240" w:lineRule="auto"/>
              <w:rPr>
                <w:rFonts w:hint="eastAsia" w:ascii="宋体" w:hAnsi="宋体" w:eastAsia="宋体" w:cs="宋体"/>
                <w:b/>
                <w:color w:val="000000"/>
                <w:highlight w:val="none"/>
                <w:vertAlign w:val="baseline"/>
              </w:rPr>
            </w:pPr>
            <w:r>
              <w:rPr>
                <w:rFonts w:hint="eastAsia" w:ascii="宋体" w:hAnsi="宋体" w:eastAsia="宋体" w:cs="宋体"/>
                <w:b/>
                <w:color w:val="000000"/>
                <w:highlight w:val="none"/>
                <w:vertAlign w:val="baseline"/>
              </w:rPr>
            </w:r>
            <w:r/>
          </w:p>
        </w:tc>
      </w:tr>
      <w:tr>
        <w:trPr>
          <w:trHeight w:val="2544"/>
        </w:trPr>
        <w:tc>
          <w:tcPr>
            <w:shd w:val="clear" w:color="auto" w:fill="auto"/>
            <w:tcW w:w="494"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shd w:val="clear" w:color="auto" w:fill="auto"/>
            <w:tcW w:w="1315"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抢险救援头盔灯</w:t>
            </w:r>
            <w:r/>
          </w:p>
        </w:tc>
        <w:tc>
          <w:tcPr>
            <w:tcW w:w="6427"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1、符合GB30734-2014《消防员照明灯具》标准，提供国家认可的检测机构出具的检测报告，检测(验)报告须带“CMA”标识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2、电池应采用可充电锂电池，额定电压为DC3.7V，额定容量不小于1.9Ah;</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3、强光放电时间≥8小时，工作光放电时间≥16小时；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4、灯具采用大按钮开关，开关处带红色信号方位灯，给后方作战人员提供警示作用；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5、当电量不足25%时，最后一段电量显示灯持续频闪提醒电量不足；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▲6、灯具的外壳防护等级应为GB/T 4208-2017规定的IP66/IP68的要求；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▲7、提供防爆合格证</w:t>
            </w:r>
            <w:r/>
          </w:p>
        </w:tc>
        <w:tc>
          <w:tcPr>
            <w:tcW w:w="1182" w:type="dxa"/>
            <w:textDirection w:val="lrTb"/>
            <w:noWrap w:val="false"/>
          </w:tcPr>
          <w:p>
            <w:pPr>
              <w:spacing w:after="0" w:line="240" w:lineRule="auto"/>
              <w:rPr>
                <w:rFonts w:hint="eastAsia" w:ascii="宋体" w:hAnsi="宋体" w:eastAsia="宋体" w:cs="宋体"/>
                <w:b/>
                <w:color w:val="000000"/>
                <w:highlight w:val="none"/>
                <w:vertAlign w:val="baseline"/>
              </w:rPr>
            </w:pPr>
            <w:r>
              <w:rPr>
                <w:rFonts w:hint="eastAsia" w:ascii="宋体" w:hAnsi="宋体" w:eastAsia="宋体" w:cs="宋体"/>
                <w:b/>
                <w:color w:val="000000"/>
                <w:highlight w:val="none"/>
                <w:vertAlign w:val="baseline"/>
              </w:rPr>
            </w:r>
            <w:r/>
          </w:p>
        </w:tc>
      </w:tr>
      <w:tr>
        <w:trPr>
          <w:trHeight w:val="479"/>
        </w:trPr>
        <w:tc>
          <w:tcPr>
            <w:shd w:val="clear" w:color="auto" w:fill="auto"/>
            <w:tcW w:w="494"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41</w:t>
            </w:r>
            <w:r/>
          </w:p>
        </w:tc>
        <w:tc>
          <w:tcPr>
            <w:shd w:val="clear" w:color="auto" w:fill="auto"/>
            <w:tcW w:w="1315"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消火栓扳手</w:t>
            </w:r>
            <w:r/>
          </w:p>
        </w:tc>
        <w:tc>
          <w:tcPr>
            <w:tcW w:w="6427"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规格尺寸：≥44cm*11cm*4cm</w:t>
            </w:r>
            <w:r/>
          </w:p>
        </w:tc>
        <w:tc>
          <w:tcPr>
            <w:tcW w:w="1182" w:type="dxa"/>
            <w:textDirection w:val="lrTb"/>
            <w:noWrap w:val="false"/>
          </w:tcPr>
          <w:p>
            <w:pPr>
              <w:spacing w:after="0" w:line="240" w:lineRule="auto"/>
              <w:rPr>
                <w:rFonts w:hint="eastAsia" w:ascii="宋体" w:hAnsi="宋体" w:eastAsia="宋体" w:cs="宋体"/>
                <w:b/>
                <w:color w:val="000000"/>
                <w:highlight w:val="none"/>
                <w:vertAlign w:val="baseline"/>
              </w:rPr>
            </w:pPr>
            <w:r>
              <w:rPr>
                <w:rFonts w:hint="eastAsia" w:ascii="宋体" w:hAnsi="宋体" w:eastAsia="宋体" w:cs="宋体"/>
                <w:b/>
                <w:color w:val="000000"/>
                <w:highlight w:val="none"/>
                <w:vertAlign w:val="baseline"/>
              </w:rPr>
            </w:r>
            <w:r/>
          </w:p>
        </w:tc>
      </w:tr>
      <w:tr>
        <w:trPr>
          <w:trHeight w:val="709"/>
        </w:trPr>
        <w:tc>
          <w:tcPr>
            <w:shd w:val="clear" w:color="auto" w:fill="auto"/>
            <w:tcW w:w="494"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42</w:t>
            </w:r>
            <w:r/>
          </w:p>
        </w:tc>
        <w:tc>
          <w:tcPr>
            <w:shd w:val="clear" w:color="auto" w:fill="auto"/>
            <w:tcW w:w="1315"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丁字镐</w:t>
            </w:r>
            <w:r/>
          </w:p>
        </w:tc>
        <w:tc>
          <w:tcPr>
            <w:tcW w:w="6427"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1.全长≥90cm，镐头≥45cm，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2.重量：≤5KG。</w:t>
            </w:r>
            <w:r/>
          </w:p>
        </w:tc>
        <w:tc>
          <w:tcPr>
            <w:tcW w:w="1182" w:type="dxa"/>
            <w:textDirection w:val="lrTb"/>
            <w:noWrap w:val="false"/>
          </w:tcPr>
          <w:p>
            <w:pPr>
              <w:spacing w:after="0" w:line="240" w:lineRule="auto"/>
              <w:rPr>
                <w:rFonts w:hint="eastAsia" w:ascii="宋体" w:hAnsi="宋体" w:eastAsia="宋体" w:cs="宋体"/>
                <w:b/>
                <w:color w:val="000000"/>
                <w:highlight w:val="none"/>
                <w:vertAlign w:val="baseline"/>
              </w:rPr>
            </w:pPr>
            <w:r>
              <w:rPr>
                <w:rFonts w:hint="eastAsia" w:ascii="宋体" w:hAnsi="宋体" w:eastAsia="宋体" w:cs="宋体"/>
                <w:b/>
                <w:color w:val="000000"/>
                <w:highlight w:val="none"/>
                <w:vertAlign w:val="baseline"/>
              </w:rPr>
            </w:r>
            <w:r/>
          </w:p>
        </w:tc>
      </w:tr>
      <w:tr>
        <w:trPr>
          <w:trHeight w:val="479"/>
        </w:trPr>
        <w:tc>
          <w:tcPr>
            <w:shd w:val="clear" w:color="auto" w:fill="auto"/>
            <w:tcW w:w="494"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43</w:t>
            </w:r>
            <w:r/>
          </w:p>
        </w:tc>
        <w:tc>
          <w:tcPr>
            <w:shd w:val="clear" w:color="auto" w:fill="auto"/>
            <w:tcW w:w="1315"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捕蛇夹</w:t>
            </w:r>
            <w:r/>
          </w:p>
        </w:tc>
        <w:tc>
          <w:tcPr>
            <w:tcW w:w="6427"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1.钳子采用双钝齿高碳钢材质，带有伸缩按钮安全开关锁手柄；</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2.杆子长1.8-3米，2节伸缩。</w:t>
            </w:r>
            <w:r/>
          </w:p>
        </w:tc>
        <w:tc>
          <w:tcPr>
            <w:tcW w:w="1182" w:type="dxa"/>
            <w:textDirection w:val="lrTb"/>
            <w:noWrap w:val="false"/>
          </w:tcPr>
          <w:p>
            <w:pPr>
              <w:spacing w:after="0" w:line="240" w:lineRule="auto"/>
              <w:rPr>
                <w:rFonts w:hint="eastAsia" w:ascii="宋体" w:hAnsi="宋体" w:eastAsia="宋体" w:cs="宋体"/>
                <w:b/>
                <w:color w:val="000000"/>
                <w:highlight w:val="none"/>
                <w:vertAlign w:val="baseline"/>
              </w:rPr>
            </w:pPr>
            <w:r>
              <w:rPr>
                <w:rFonts w:hint="eastAsia" w:ascii="宋体" w:hAnsi="宋体" w:eastAsia="宋体" w:cs="宋体"/>
                <w:b/>
                <w:color w:val="000000"/>
                <w:highlight w:val="none"/>
                <w:vertAlign w:val="baseline"/>
              </w:rPr>
            </w:r>
            <w:r/>
          </w:p>
        </w:tc>
      </w:tr>
      <w:tr>
        <w:trPr>
          <w:trHeight w:val="3233"/>
        </w:trPr>
        <w:tc>
          <w:tcPr>
            <w:shd w:val="clear" w:color="auto" w:fill="auto"/>
            <w:tcW w:w="494"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44</w:t>
            </w:r>
            <w:r/>
          </w:p>
        </w:tc>
        <w:tc>
          <w:tcPr>
            <w:shd w:val="clear" w:color="auto" w:fill="auto"/>
            <w:tcW w:w="1315"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比武灭火靴</w:t>
            </w:r>
            <w:r/>
          </w:p>
        </w:tc>
        <w:tc>
          <w:tcPr>
            <w:tcW w:w="6427"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1、符合XF6-2004《消防员灭火防护靴》标准，提供国家认可的检测机构出具的检测报告，检测(验)报告须带“CMA”标识；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2、外观部分: 本防护靴主体为黑色，辅以醒目的金黄色；靴底和靴面均采用优质阻燃橡胶材料制成。</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靴头内设置有钢包头层，在钢包头层上下两侧设置防护外层、舒适层、衬里层等；为提高靴底的防穿刺性、绝缘性及隔热性，靴底设置有钢中底层，并在钢中底层上下两侧设置绝缘层、舒适层和衬里层。同时，靴底采用了防滑设计，靴筒拥有防水、防割功能，增强了防护靴整体安全性能。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防砸性能：灭火防护靴的防砸性能静压力≥19mm；及冲击≥19mm，抗刺穿性能≥1900N，靴面经抗切割试验后不会被割穿。电绝缘性能：击穿电压≥5000V,泄漏电流:≤0.21mA，隔热性能≤7℃。抗辐射热渗透性能≤5℃；防滑性能：≥23°</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5、质量：每双消防员灭火防护胶靴的质量≤1.75Kg。</w:t>
            </w:r>
            <w:r/>
          </w:p>
        </w:tc>
        <w:tc>
          <w:tcPr>
            <w:tcW w:w="1182" w:type="dxa"/>
            <w:textDirection w:val="lrTb"/>
            <w:noWrap w:val="false"/>
          </w:tcPr>
          <w:p>
            <w:pPr>
              <w:spacing w:after="0" w:line="240" w:lineRule="auto"/>
              <w:rPr>
                <w:rFonts w:hint="eastAsia" w:ascii="宋体" w:hAnsi="宋体" w:eastAsia="宋体" w:cs="宋体"/>
                <w:b/>
                <w:color w:val="000000"/>
                <w:highlight w:val="none"/>
                <w:vertAlign w:val="baseline"/>
              </w:rPr>
            </w:pPr>
            <w:r>
              <w:rPr>
                <w:rFonts w:hint="eastAsia" w:ascii="宋体" w:hAnsi="宋体" w:eastAsia="宋体" w:cs="宋体"/>
                <w:b/>
                <w:color w:val="000000"/>
                <w:highlight w:val="none"/>
                <w:vertAlign w:val="baseline"/>
              </w:rPr>
            </w:r>
            <w:r/>
          </w:p>
        </w:tc>
      </w:tr>
      <w:tr>
        <w:trPr>
          <w:trHeight w:val="3763"/>
        </w:trPr>
        <w:tc>
          <w:tcPr>
            <w:shd w:val="clear" w:color="auto" w:fill="auto"/>
            <w:tcW w:w="494"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45</w:t>
            </w:r>
            <w:r/>
          </w:p>
        </w:tc>
        <w:tc>
          <w:tcPr>
            <w:shd w:val="clear" w:color="auto" w:fill="auto"/>
            <w:tcW w:w="1315"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冬季抢险救援服</w:t>
            </w:r>
            <w:r/>
          </w:p>
        </w:tc>
        <w:tc>
          <w:tcPr>
            <w:tcW w:w="6427"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符合XF 633-2006《消防员抢险救援防护服装》标准，提供国家认可的检测机构出具的检测报告，检测(验)报告须带“CMA”标识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1、本冬款抢险救援服包括上衣、裤子、行军帽和腰带。</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2、缩水率：外层面料：经向≤0.6%，纬向≤1%；防水透气层：经向≤3.6%，纬向≤3.6%；舒适层：经向≤2.4%，纬向≤2.0%；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3、起毛球：≥4级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4、断裂强力：外层：经向≥1200N，纬向≥1200N。舒适层：经向≥440N，纬向≥400N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5、撕破强力：外层≥150N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6、阻燃性能）：外层：续燃时间（s）：≤1。损毁长度(mm)：≤49。舒适层：续燃时间（s）：≤1。损毁长度(mm)：≤45，熔融、滴落：无。</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7、接缝断裂强力：≥710N。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8、防静电性能：上衣≤0.6μC。下衣≤0.5μC。</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9、标志：消防员抢险救援防护服装每件产品上有永久性的标志，其主要内容包括：有产品执行的标准；有型号、规格；有生产厂的名称和商标；有生产日期；有检验合格标记；有禁用场所。</w:t>
            </w:r>
            <w:r/>
          </w:p>
        </w:tc>
        <w:tc>
          <w:tcPr>
            <w:tcW w:w="1182" w:type="dxa"/>
            <w:textDirection w:val="lrTb"/>
            <w:noWrap w:val="false"/>
          </w:tcPr>
          <w:p>
            <w:pPr>
              <w:spacing w:after="0" w:line="240" w:lineRule="auto"/>
              <w:rPr>
                <w:rFonts w:hint="eastAsia" w:ascii="宋体" w:hAnsi="宋体" w:eastAsia="宋体" w:cs="宋体"/>
                <w:b/>
                <w:color w:val="000000"/>
                <w:highlight w:val="none"/>
                <w:vertAlign w:val="baseline"/>
              </w:rPr>
            </w:pPr>
            <w:r>
              <w:rPr>
                <w:rFonts w:hint="eastAsia" w:ascii="宋体" w:hAnsi="宋体" w:eastAsia="宋体" w:cs="宋体"/>
                <w:b/>
                <w:color w:val="000000"/>
                <w:highlight w:val="none"/>
                <w:vertAlign w:val="baseline"/>
              </w:rPr>
            </w:r>
            <w:r/>
          </w:p>
        </w:tc>
      </w:tr>
      <w:tr>
        <w:trPr>
          <w:trHeight w:val="1627"/>
        </w:trPr>
        <w:tc>
          <w:tcPr>
            <w:shd w:val="clear" w:color="auto" w:fill="auto"/>
            <w:tcW w:w="494"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46</w:t>
            </w:r>
            <w:r/>
          </w:p>
        </w:tc>
        <w:tc>
          <w:tcPr>
            <w:shd w:val="clear" w:color="auto" w:fill="auto"/>
            <w:tcW w:w="1315"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抢险救援速干衣</w:t>
            </w:r>
            <w:r/>
          </w:p>
        </w:tc>
        <w:tc>
          <w:tcPr>
            <w:tcW w:w="6427"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1.面料：尼龙双重织物，集耐磨、吸汗、速干三种防护于一体；</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2.颜色为橘红色，反光条为打孔反光条，具备轻便、凉爽、抗油拒水、耐磨、四面弹性、颜色及标识醒目等性能；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3.腋下有透气设计。肩、肘、膝、臀、裆部加厚处理增加耐磨性。裤腰增加防滑腰里，避免涉水后，裤子在腰上打转。</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4.技术参数：吸水性：洗涤前：110％，洗涤后：115%；滴水扩散时间：洗涤前：2.1s，洗涤后：2.8s；；</w:t>
            </w:r>
            <w:r/>
          </w:p>
        </w:tc>
        <w:tc>
          <w:tcPr>
            <w:tcW w:w="1182" w:type="dxa"/>
            <w:textDirection w:val="lrTb"/>
            <w:noWrap w:val="false"/>
          </w:tcPr>
          <w:p>
            <w:pPr>
              <w:spacing w:after="0" w:line="240" w:lineRule="auto"/>
              <w:rPr>
                <w:rFonts w:hint="eastAsia" w:ascii="宋体" w:hAnsi="宋体" w:eastAsia="宋体" w:cs="宋体"/>
                <w:b/>
                <w:color w:val="000000"/>
                <w:highlight w:val="none"/>
                <w:vertAlign w:val="baseline"/>
              </w:rPr>
            </w:pPr>
            <w:r>
              <w:rPr>
                <w:rFonts w:hint="eastAsia" w:ascii="宋体" w:hAnsi="宋体" w:eastAsia="宋体" w:cs="宋体"/>
                <w:b/>
                <w:color w:val="000000"/>
                <w:highlight w:val="none"/>
                <w:vertAlign w:val="baseline"/>
              </w:rPr>
            </w:r>
            <w:r/>
          </w:p>
        </w:tc>
      </w:tr>
      <w:tr>
        <w:trPr>
          <w:trHeight w:val="3921"/>
        </w:trPr>
        <w:tc>
          <w:tcPr>
            <w:shd w:val="clear" w:color="auto" w:fill="auto"/>
            <w:tcW w:w="494"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47</w:t>
            </w:r>
            <w:r/>
          </w:p>
        </w:tc>
        <w:tc>
          <w:tcPr>
            <w:shd w:val="clear" w:color="auto" w:fill="auto"/>
            <w:tcW w:w="1315"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泡沫</w:t>
            </w:r>
            <w:r/>
          </w:p>
        </w:tc>
        <w:tc>
          <w:tcPr>
            <w:tcW w:w="6427"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▲1、符合 GB15308-2006标准，提供国家认可的检测机构出具的检测报告，检测(验)报告须带“CMA”标识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2、3%AFFF水成膜泡沫灭火剂，符合GB15308-2006《泡沫灭火剂》标准。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3、产品不受冻结和融化影响，适用于淡水、海水。</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4、凝固点，℃：≤-35℃</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5、PH值：7.0-9.0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6、表面张力mN/m：≤20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7、界面张力mN/m：≤3</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8、腐蚀率mg/（d·dm²）：Q235A钢片：≤1，3A21铝片：≤1</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9、发泡倍数：≥7</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10、25%析液时间min：≥3.0min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11、灭火性能：IA级别：灭火时间：淡水≤3min，海水≤3min，抗烧时间：淡水≥10min，海水≥10min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▲12、产品不含全氟辛基磺酸及其衍生物（PFOS）和全氟辛酸及其盐类（PFOA）</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注：带“▲”参数须在检测报告中体现。</w:t>
            </w:r>
            <w:r/>
          </w:p>
        </w:tc>
        <w:tc>
          <w:tcPr>
            <w:tcW w:w="1182" w:type="dxa"/>
            <w:textDirection w:val="lrTb"/>
            <w:noWrap w:val="false"/>
          </w:tcPr>
          <w:p>
            <w:pPr>
              <w:spacing w:after="0" w:line="240" w:lineRule="auto"/>
              <w:rPr>
                <w:rFonts w:hint="eastAsia" w:ascii="宋体" w:hAnsi="宋体" w:eastAsia="宋体" w:cs="宋体"/>
                <w:b/>
                <w:color w:val="000000"/>
                <w:highlight w:val="none"/>
                <w:vertAlign w:val="baseline"/>
              </w:rPr>
            </w:pPr>
            <w:r>
              <w:rPr>
                <w:rFonts w:hint="eastAsia" w:ascii="宋体" w:hAnsi="宋体" w:eastAsia="宋体" w:cs="宋体"/>
                <w:b/>
                <w:color w:val="000000"/>
                <w:highlight w:val="none"/>
                <w:vertAlign w:val="baseline"/>
              </w:rPr>
            </w:r>
            <w:r/>
          </w:p>
        </w:tc>
      </w:tr>
      <w:tr>
        <w:trPr>
          <w:trHeight w:val="4623"/>
        </w:trPr>
        <w:tc>
          <w:tcPr>
            <w:shd w:val="clear" w:color="auto" w:fill="auto"/>
            <w:tcW w:w="494"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48</w:t>
            </w:r>
            <w:r/>
          </w:p>
        </w:tc>
        <w:tc>
          <w:tcPr>
            <w:shd w:val="clear" w:color="auto" w:fill="auto"/>
            <w:tcW w:w="1315"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救生衣</w:t>
            </w:r>
            <w:r/>
          </w:p>
        </w:tc>
        <w:tc>
          <w:tcPr>
            <w:tcW w:w="6427"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符合《激流救生衣试验大纲》</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1.采用背心式设计，胸襟采用塑钢开口拉链，并使用塑料拉头浮力片固定于布料夹层内，后领口增加手提式松紧提拉带设计，方便于携带；</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2.环绕胸部设置一条多功能腰带，前胸是设置PFD自救装置，后背部设有牵引绳连接拉环，拉环拉绳破断力≥1200kg；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3.活饵快卸系统：环绕胸部腰带一条，宽5cm的尼龙织带；</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4.正面配置2个大容量排水网布构成的置物袋（可拆卸式设计）；后背同时也增加一个大容量置物袋（可拆卸式设计）；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5.多个前置挂点的设计方便使用者在使用和固定刀、口哨时都方便快捷。</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6.前后面缝制≥1m反光条，下摆部带有连接点，用于连接腿带固定带，以防水流水浪将救生衣冲脱；</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7.浮力：救生衣固有浮力材料提供的浮力为≥160N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8.浮力损失：救生衣在淡水中浸泡24h后，其浮力损失为≤2.5%</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9.强度：</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 救生衣衣身能承受≥3200N的作用力30min而不损坏。</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 救生衣肩部能承受≥900N的作用力30min而不损坏。</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 档带与救生衣衣体之间能承受≥900N的作用力而不发生脱离或损坏</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10.属具：每件救生衣配有细索系牢的哨笛1只。使用时，穿着者任何一只手能将哨笛移出或放入，每件救生衣配有细索系牢的示位灯1只。</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 </w:t>
            </w:r>
            <w:r/>
          </w:p>
        </w:tc>
        <w:tc>
          <w:tcPr>
            <w:tcW w:w="1182" w:type="dxa"/>
            <w:textDirection w:val="lrTb"/>
            <w:noWrap w:val="false"/>
          </w:tcPr>
          <w:p>
            <w:pPr>
              <w:spacing w:after="0" w:line="240" w:lineRule="auto"/>
              <w:rPr>
                <w:rFonts w:hint="eastAsia" w:ascii="宋体" w:hAnsi="宋体" w:eastAsia="宋体" w:cs="宋体"/>
                <w:b/>
                <w:color w:val="000000"/>
                <w:highlight w:val="none"/>
                <w:vertAlign w:val="baseline"/>
              </w:rPr>
            </w:pPr>
            <w:r>
              <w:rPr>
                <w:rFonts w:hint="eastAsia" w:ascii="宋体" w:hAnsi="宋体" w:eastAsia="宋体" w:cs="宋体"/>
                <w:b/>
                <w:color w:val="000000"/>
                <w:highlight w:val="none"/>
                <w:vertAlign w:val="baseline"/>
              </w:rPr>
            </w:r>
            <w:r/>
          </w:p>
        </w:tc>
      </w:tr>
      <w:tr>
        <w:trPr>
          <w:trHeight w:val="3701"/>
        </w:trPr>
        <w:tc>
          <w:tcPr>
            <w:shd w:val="clear" w:color="auto" w:fill="auto"/>
            <w:tcW w:w="494"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49</w:t>
            </w:r>
            <w:r/>
          </w:p>
        </w:tc>
        <w:tc>
          <w:tcPr>
            <w:shd w:val="clear" w:color="auto" w:fill="auto"/>
            <w:tcW w:w="1315"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湿式救援服</w:t>
            </w:r>
            <w:r/>
          </w:p>
        </w:tc>
        <w:tc>
          <w:tcPr>
            <w:tcW w:w="6427"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1.肩部和胳臂处设有反射区域，有RESCUE救援字样低光线处可获得良好的反光效果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2.温度适用性能：救援服经高温50°C2h试验后，取出放入低温箱中经过低温-20°C2h试验后，无皱缩、破裂、胀大、分解等现象；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3.面料拉伸强度：湿式水域救援防护服面料经纬向在150N的拉伸负载下保持10s不发生断裂；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4.耐磨性能：在9kPa压力下：经2000次循环摩擦后，未破损；补强材料：在9kPa压力下：经6000次循环摩擦后，未破损;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5.耐静水压性能：≥100kpa（未出水珠）；</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6.耐干摩擦色牢度：≥4；</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7.耐光色牢度：≥4；</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8.顶破强力：≥1380N;</w:t>
            </w:r>
            <w:r/>
          </w:p>
        </w:tc>
        <w:tc>
          <w:tcPr>
            <w:tcW w:w="1182" w:type="dxa"/>
            <w:textDirection w:val="lrTb"/>
            <w:noWrap w:val="false"/>
          </w:tcPr>
          <w:p>
            <w:pPr>
              <w:spacing w:after="0" w:line="240" w:lineRule="auto"/>
              <w:rPr>
                <w:rFonts w:hint="eastAsia" w:ascii="宋体" w:hAnsi="宋体" w:eastAsia="宋体" w:cs="宋体"/>
                <w:b/>
                <w:color w:val="000000"/>
                <w:highlight w:val="none"/>
                <w:vertAlign w:val="baseline"/>
              </w:rPr>
            </w:pPr>
            <w:r>
              <w:rPr>
                <w:rFonts w:hint="eastAsia" w:ascii="宋体" w:hAnsi="宋体" w:eastAsia="宋体" w:cs="宋体"/>
                <w:b/>
                <w:color w:val="000000"/>
                <w:highlight w:val="none"/>
                <w:vertAlign w:val="baseline"/>
              </w:rPr>
            </w:r>
            <w:r/>
          </w:p>
        </w:tc>
      </w:tr>
      <w:tr>
        <w:trPr>
          <w:trHeight w:val="2773"/>
        </w:trPr>
        <w:tc>
          <w:tcPr>
            <w:shd w:val="clear" w:color="auto" w:fill="auto"/>
            <w:tcW w:w="494"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W w:w="1315"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牵引绳</w:t>
            </w:r>
            <w:r/>
          </w:p>
        </w:tc>
        <w:tc>
          <w:tcPr>
            <w:tcW w:w="6427"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符合《消防水域救援个人防护装备试验大纲》</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1.须带有不锈钢O型环和三角形连接锁，挂接方便快速；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2.牵引绳两端须加厚塑胶塑封，具有良好的耐候性，牢固且耐摩擦；</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3.牵引绳须与 PFD 快卸式腰带组合使用，可在紧急情况，牵拉人、物可快速分离；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4.静态长度： ≥70CM、伸展后长度：≥105CM；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5.在1000N的轴向拉力作用下，水域救援牛尾绳伸展后的长度≥100cm，在静态长度的1.5~2.0倍之间；</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6.在标称强度（5kN）的轴向拉力作用下，水域救援牛尾绳未出现断裂现象；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7.牵引绳自带反光功能</w:t>
            </w:r>
            <w:r/>
          </w:p>
        </w:tc>
        <w:tc>
          <w:tcPr>
            <w:tcW w:w="1182" w:type="dxa"/>
            <w:textDirection w:val="lrTb"/>
            <w:noWrap w:val="false"/>
          </w:tcPr>
          <w:p>
            <w:pPr>
              <w:spacing w:after="0" w:line="240" w:lineRule="auto"/>
              <w:rPr>
                <w:rFonts w:hint="eastAsia" w:ascii="宋体" w:hAnsi="宋体" w:eastAsia="宋体" w:cs="宋体"/>
                <w:b/>
                <w:color w:val="000000"/>
                <w:highlight w:val="none"/>
                <w:vertAlign w:val="baseline"/>
              </w:rPr>
            </w:pPr>
            <w:r>
              <w:rPr>
                <w:rFonts w:hint="eastAsia" w:ascii="宋体" w:hAnsi="宋体" w:eastAsia="宋体" w:cs="宋体"/>
                <w:b/>
                <w:color w:val="000000"/>
                <w:highlight w:val="none"/>
                <w:vertAlign w:val="baseline"/>
              </w:rPr>
            </w:r>
            <w:r/>
          </w:p>
        </w:tc>
      </w:tr>
      <w:tr>
        <w:trPr>
          <w:trHeight w:val="5068"/>
        </w:trPr>
        <w:tc>
          <w:tcPr>
            <w:shd w:val="clear" w:color="auto" w:fill="auto"/>
            <w:tcW w:w="494"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51</w:t>
            </w:r>
            <w:r/>
          </w:p>
        </w:tc>
        <w:tc>
          <w:tcPr>
            <w:shd w:val="clear" w:color="auto" w:fill="auto"/>
            <w:tcW w:w="1315"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隔热防护服</w:t>
            </w:r>
            <w:r/>
          </w:p>
        </w:tc>
        <w:tc>
          <w:tcPr>
            <w:tcW w:w="6427"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▲1、符合GA634-2015《消防员隔热防护服》标准，提供国家认可的检测机构出具的检测报告，检测(验)报告须带“CMA”标识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2、由隔热上衣、隔热裤、隔热头罩（带头盔）、隔热手套以及隔热脚套组成；上衣有空气呼吸器包囊；铝涂层复合阻燃织物，衬里为天燃纤维织物；隔热头套视窗为无色透明视窗；</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3、外层面料性能：阻燃性能：续燃时间经向≤1s，损毁长度经纬向≤50mm。断裂强力：经纬向≥1300N撕破强力：经纬向≥180N；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4、热稳定性能：尺寸变化率经、纬向≤2%；</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5、耐静水压性能：≥17kPa；</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6、抗辐射热渗透性能：内表面温升达到24℃的时间≥65s。</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7、隔热层，阻燃性能：续燃时间经纬向0s，损毁长度经向≤28mm、纬向≤26mm。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8、舒适层性能: 阻燃性能：续燃时间经纬向≤0s，损毁长度经向≤51mm纬向≤48mm;断裂强力：经、纬向≥340N;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▲9、隔热头罩性能：耐高温性能：经180℃高温5分钟后，无碳化、熔融和滴落现象，视窗无明显变形和损坏，视野：左右视野≥105°，上视野≥7°，下视野≥45°。视窗透光率：无色透明视窗透光率≥85%。</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10、隔热手套灵巧性能：完成最小测试棒直径为6.5 mm。性能等级≥4级。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11、火焰和辐射热防护性能：TPP≥36 cal/c㎡</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12、接缝断裂强力：≥840N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注：带“▲”参数须在检测报告中体现。</w:t>
            </w:r>
            <w:r/>
          </w:p>
        </w:tc>
        <w:tc>
          <w:tcPr>
            <w:tcW w:w="1182" w:type="dxa"/>
            <w:textDirection w:val="lrTb"/>
            <w:noWrap w:val="false"/>
          </w:tcPr>
          <w:p>
            <w:pPr>
              <w:spacing w:after="0" w:line="240" w:lineRule="auto"/>
              <w:rPr>
                <w:rFonts w:hint="eastAsia" w:ascii="宋体" w:hAnsi="宋体" w:eastAsia="宋体" w:cs="宋体"/>
                <w:b/>
                <w:color w:val="000000"/>
                <w:highlight w:val="none"/>
                <w:vertAlign w:val="baseline"/>
              </w:rPr>
            </w:pPr>
            <w:r>
              <w:rPr>
                <w:rFonts w:hint="eastAsia" w:ascii="宋体" w:hAnsi="宋体" w:eastAsia="宋体" w:cs="宋体"/>
                <w:b/>
                <w:color w:val="000000"/>
                <w:highlight w:val="none"/>
                <w:vertAlign w:val="baseline"/>
              </w:rPr>
            </w:r>
            <w:r/>
          </w:p>
        </w:tc>
      </w:tr>
      <w:tr>
        <w:trPr>
          <w:trHeight w:val="4623"/>
        </w:trPr>
        <w:tc>
          <w:tcPr>
            <w:shd w:val="clear" w:color="auto" w:fill="auto"/>
            <w:tcW w:w="494"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52</w:t>
            </w:r>
            <w:r/>
          </w:p>
        </w:tc>
        <w:tc>
          <w:tcPr>
            <w:shd w:val="clear" w:color="auto" w:fill="auto"/>
            <w:tcW w:w="1315"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一级化学防护服</w:t>
            </w:r>
            <w:r/>
          </w:p>
        </w:tc>
        <w:tc>
          <w:tcPr>
            <w:tcW w:w="6427"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▲1、符合XF770-2008《消防员化学防护服装》标准要求，提供国家认可的检测机构出具的检测报告，检测(验)报告须带“CMA”标识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2、服装整体性能：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2.1整体气密性：≤300pa，贴条的粘附强度：≥1kN/m。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2.2超压排气阀气密性：≥15S,超压排气阀通气阻力：78~118Pa。</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▲3、面料拉伸强度：经纬向≥25kN/m。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4、撕裂强力:经纬向≥100N。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5、耐老化性能:试样经125℃、24h后，不粘、不脆。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6、阻燃性能:有焰燃烧时间≤1s, 无焰燃烧时间1s。</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7、阻燃性能损毁长度:≤10cm。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8、面料接缝强力：≥500N。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9、耐寒性能：试样经-25℃、5min后，无裂痕。</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▲10、抗化学品渗透性能（面料、面料接缝、大视窗接缝、防护手套、防化靴）:硫酸、盐酸、硝酸、氢氧化钠＞70min。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11、化学防护手套耐刺穿力:≥28N ，化学防护手套灵巧度:5级。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▲12、化学防护靴抗刺穿性能:≥1700N，电绝缘性能:5000V电压时泄露电流≤1mA。</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12.1抗切割性能：靴面经抗切割试验后，未被割穿。</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12.2防滑性能：防护靴始滑角≥15°。</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注：带“▲”参数须在检测报告中体现</w:t>
            </w:r>
            <w:r/>
          </w:p>
        </w:tc>
        <w:tc>
          <w:tcPr>
            <w:tcW w:w="1182" w:type="dxa"/>
            <w:textDirection w:val="lrTb"/>
            <w:noWrap w:val="false"/>
          </w:tcPr>
          <w:p>
            <w:pPr>
              <w:spacing w:after="0" w:line="240" w:lineRule="auto"/>
              <w:rPr>
                <w:rFonts w:hint="eastAsia" w:ascii="宋体" w:hAnsi="宋体" w:eastAsia="宋体" w:cs="宋体"/>
                <w:b/>
                <w:color w:val="000000"/>
                <w:highlight w:val="none"/>
                <w:vertAlign w:val="baseline"/>
              </w:rPr>
            </w:pPr>
            <w:r>
              <w:rPr>
                <w:rFonts w:hint="eastAsia" w:ascii="宋体" w:hAnsi="宋体" w:eastAsia="宋体" w:cs="宋体"/>
                <w:b/>
                <w:color w:val="000000"/>
                <w:highlight w:val="none"/>
                <w:vertAlign w:val="baseline"/>
              </w:rPr>
            </w:r>
            <w:r/>
          </w:p>
        </w:tc>
      </w:tr>
      <w:tr>
        <w:trPr>
          <w:trHeight w:val="2315"/>
        </w:trPr>
        <w:tc>
          <w:tcPr>
            <w:shd w:val="clear" w:color="auto" w:fill="auto"/>
            <w:tcW w:w="494"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53</w:t>
            </w:r>
            <w:r/>
          </w:p>
        </w:tc>
        <w:tc>
          <w:tcPr>
            <w:shd w:val="clear" w:color="auto" w:fill="auto"/>
            <w:tcW w:w="1315"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电绝缘装具</w:t>
            </w:r>
            <w:r/>
          </w:p>
        </w:tc>
        <w:tc>
          <w:tcPr>
            <w:tcW w:w="6427"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符合DL-T1125-2009 《10kv 带电作业用绝缘服装》GB 12011-2009 《足部防护 电绝缘鞋》GB/T 17622-2008《带电作业用绝缘手套》标准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1、电性能（泄漏电流）mA ：泄露电流≤8，测试电压20KV,测试时间1min；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2、表面拉伸强度：拉伸强度平均值≥50mpa，最低值不低于平均值的90%；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3、表面抗机械刺穿：抗穿刺力平均值≥36N,最低值应不低于平均值的95%；</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4、电气性能（整衣层向验证电压试验）：交流电压试验-整衣层向验证电压 ≥15KV。</w:t>
            </w:r>
            <w:r/>
          </w:p>
        </w:tc>
        <w:tc>
          <w:tcPr>
            <w:tcW w:w="1182" w:type="dxa"/>
            <w:textDirection w:val="lrTb"/>
            <w:noWrap w:val="false"/>
          </w:tcPr>
          <w:p>
            <w:pPr>
              <w:spacing w:after="0" w:line="240" w:lineRule="auto"/>
              <w:rPr>
                <w:rFonts w:hint="eastAsia" w:ascii="宋体" w:hAnsi="宋体" w:eastAsia="宋体" w:cs="宋体"/>
                <w:b/>
                <w:color w:val="000000"/>
                <w:highlight w:val="none"/>
                <w:vertAlign w:val="baseline"/>
              </w:rPr>
            </w:pPr>
            <w:r>
              <w:rPr>
                <w:rFonts w:hint="eastAsia" w:ascii="宋体" w:hAnsi="宋体" w:eastAsia="宋体" w:cs="宋体"/>
                <w:b/>
                <w:color w:val="000000"/>
                <w:highlight w:val="none"/>
                <w:vertAlign w:val="baseline"/>
              </w:rPr>
            </w:r>
            <w:r/>
          </w:p>
        </w:tc>
      </w:tr>
      <w:tr>
        <w:trPr>
          <w:trHeight w:val="479"/>
        </w:trPr>
        <w:tc>
          <w:tcPr>
            <w:shd w:val="clear" w:color="auto" w:fill="auto"/>
            <w:tcW w:w="494"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54</w:t>
            </w:r>
            <w:r/>
          </w:p>
        </w:tc>
        <w:tc>
          <w:tcPr>
            <w:shd w:val="clear" w:color="auto" w:fill="auto"/>
            <w:tcW w:w="1315"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内置纯棉手套</w:t>
            </w:r>
            <w:r/>
          </w:p>
        </w:tc>
        <w:tc>
          <w:tcPr>
            <w:tcW w:w="6427"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1、材质：纯棉</w:t>
            </w:r>
            <w:r/>
          </w:p>
        </w:tc>
        <w:tc>
          <w:tcPr>
            <w:tcW w:w="1182" w:type="dxa"/>
            <w:textDirection w:val="lrTb"/>
            <w:noWrap w:val="false"/>
          </w:tcPr>
          <w:p>
            <w:pPr>
              <w:spacing w:after="0" w:line="240" w:lineRule="auto"/>
              <w:rPr>
                <w:rFonts w:hint="eastAsia" w:ascii="宋体" w:hAnsi="宋体" w:eastAsia="宋体" w:cs="宋体"/>
                <w:b/>
                <w:color w:val="000000"/>
                <w:highlight w:val="none"/>
                <w:vertAlign w:val="baseline"/>
              </w:rPr>
            </w:pPr>
            <w:r>
              <w:rPr>
                <w:rFonts w:hint="eastAsia" w:ascii="宋体" w:hAnsi="宋体" w:eastAsia="宋体" w:cs="宋体"/>
                <w:b/>
                <w:color w:val="000000"/>
                <w:highlight w:val="none"/>
                <w:vertAlign w:val="baseline"/>
              </w:rPr>
            </w:r>
            <w:r/>
          </w:p>
        </w:tc>
      </w:tr>
      <w:tr>
        <w:trPr>
          <w:trHeight w:val="3701"/>
        </w:trPr>
        <w:tc>
          <w:tcPr>
            <w:shd w:val="clear" w:color="auto" w:fill="auto"/>
            <w:tcW w:w="494"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55</w:t>
            </w:r>
            <w:r/>
          </w:p>
        </w:tc>
        <w:tc>
          <w:tcPr>
            <w:shd w:val="clear" w:color="auto" w:fill="auto"/>
            <w:tcW w:w="1315"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消防阻燃毛衣</w:t>
            </w:r>
            <w:r/>
          </w:p>
        </w:tc>
        <w:tc>
          <w:tcPr>
            <w:tcW w:w="6427"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1、符合XF 1274-2015《消防员防护辅助装备 阻燃毛衣》标准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阻燃性能：（1）主体材料：氧指数：经向：≥36s，纬向：≥36s。续燃时间：经向：≤1s，纬向：≤1s。燃烧特征：本产品主体原料属环保难燃纤维，遇明火后产生炭化，不熔滴，不传播火焰，离开火源自熄，无熔融、滴落现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3、甲醛含量：未在阻燃毛衣中检测出甲醛。</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4、pH值不应小于4和大于8.5。</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5、耐洗色牢度（变色/沾色）：变色≥3级，沾色≥3级。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6、耐摩擦色牢度：干摩≥3级，湿摩：≥3级。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7、耐光色牢度：≥4级。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8、起毛起球性能：≥4级。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9、顶破强度：≥700kPa。</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10、水洗尺寸变化率（%）：≤1%。</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11、静电性能：≤0.3µC/件。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12、缝纫线耐高温性能：将缝纫先放置在180°C干燥箱内5min,不应融化、烧焦现象。</w:t>
            </w:r>
            <w:r/>
          </w:p>
        </w:tc>
        <w:tc>
          <w:tcPr>
            <w:tcW w:w="1182" w:type="dxa"/>
            <w:textDirection w:val="lrTb"/>
            <w:noWrap w:val="false"/>
          </w:tcPr>
          <w:p>
            <w:pPr>
              <w:spacing w:after="0" w:line="240" w:lineRule="auto"/>
              <w:rPr>
                <w:rFonts w:hint="eastAsia" w:ascii="宋体" w:hAnsi="宋体" w:eastAsia="宋体" w:cs="宋体"/>
                <w:b/>
                <w:color w:val="000000"/>
                <w:highlight w:val="none"/>
                <w:vertAlign w:val="baseline"/>
              </w:rPr>
            </w:pPr>
            <w:r>
              <w:rPr>
                <w:rFonts w:hint="eastAsia" w:ascii="宋体" w:hAnsi="宋体" w:eastAsia="宋体" w:cs="宋体"/>
                <w:b/>
                <w:color w:val="000000"/>
                <w:highlight w:val="none"/>
                <w:vertAlign w:val="baseline"/>
              </w:rPr>
            </w:r>
            <w:r/>
          </w:p>
        </w:tc>
      </w:tr>
      <w:tr>
        <w:trPr>
          <w:trHeight w:val="1168"/>
        </w:trPr>
        <w:tc>
          <w:tcPr>
            <w:shd w:val="clear" w:color="auto" w:fill="auto"/>
            <w:tcW w:w="494"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56</w:t>
            </w:r>
            <w:r/>
          </w:p>
        </w:tc>
        <w:tc>
          <w:tcPr>
            <w:shd w:val="clear" w:color="auto" w:fill="auto"/>
            <w:tcW w:w="1315"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防高温手套</w:t>
            </w:r>
            <w:r/>
          </w:p>
        </w:tc>
        <w:tc>
          <w:tcPr>
            <w:tcW w:w="6427"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符合XF7-2004《消防手套》标准。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1、热稳定性能：手套尺寸变化率：长≤1%，宽：≤1%，衬里：经向：≤1%，纬向：≤1%。</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2、外层阻燃性能：续然时间：≤1s，阴燃时间：≤1s。</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3、隔热层阻燃性能：续然时间：≤1s，阴燃时间：≤1s。</w:t>
            </w:r>
            <w:r/>
          </w:p>
        </w:tc>
        <w:tc>
          <w:tcPr>
            <w:tcW w:w="1182" w:type="dxa"/>
            <w:textDirection w:val="lrTb"/>
            <w:noWrap w:val="false"/>
          </w:tcPr>
          <w:p>
            <w:pPr>
              <w:spacing w:after="0" w:line="240" w:lineRule="auto"/>
              <w:rPr>
                <w:rFonts w:hint="eastAsia" w:ascii="宋体" w:hAnsi="宋体" w:eastAsia="宋体" w:cs="宋体"/>
                <w:b/>
                <w:color w:val="000000"/>
                <w:highlight w:val="none"/>
                <w:vertAlign w:val="baseline"/>
              </w:rPr>
            </w:pPr>
            <w:r>
              <w:rPr>
                <w:rFonts w:hint="eastAsia" w:ascii="宋体" w:hAnsi="宋体" w:eastAsia="宋体" w:cs="宋体"/>
                <w:b/>
                <w:color w:val="000000"/>
                <w:highlight w:val="none"/>
                <w:vertAlign w:val="baseline"/>
              </w:rPr>
            </w:r>
            <w:r/>
          </w:p>
        </w:tc>
      </w:tr>
      <w:tr>
        <w:trPr>
          <w:trHeight w:val="937"/>
        </w:trPr>
        <w:tc>
          <w:tcPr>
            <w:shd w:val="clear" w:color="auto" w:fill="auto"/>
            <w:tcW w:w="494"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57</w:t>
            </w:r>
            <w:r/>
          </w:p>
        </w:tc>
        <w:tc>
          <w:tcPr>
            <w:shd w:val="clear" w:color="auto" w:fill="auto"/>
            <w:tcW w:w="1315"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防化手套</w:t>
            </w:r>
            <w:r/>
          </w:p>
        </w:tc>
        <w:tc>
          <w:tcPr>
            <w:tcW w:w="6427"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符合XF770-2008《消防员化学防护服装》标准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1、灵巧性能等级:≥5级。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2、附刺穿力≥32N。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3、材质为氯丁橡胶。</w:t>
            </w:r>
            <w:r/>
          </w:p>
        </w:tc>
        <w:tc>
          <w:tcPr>
            <w:tcW w:w="1182" w:type="dxa"/>
            <w:textDirection w:val="lrTb"/>
            <w:noWrap w:val="false"/>
          </w:tcPr>
          <w:p>
            <w:pPr>
              <w:spacing w:after="0" w:line="240" w:lineRule="auto"/>
              <w:rPr>
                <w:rFonts w:hint="eastAsia" w:ascii="宋体" w:hAnsi="宋体" w:eastAsia="宋体" w:cs="宋体"/>
                <w:b/>
                <w:color w:val="000000"/>
                <w:highlight w:val="none"/>
                <w:vertAlign w:val="baseline"/>
              </w:rPr>
            </w:pPr>
            <w:r>
              <w:rPr>
                <w:rFonts w:hint="eastAsia" w:ascii="宋体" w:hAnsi="宋体" w:eastAsia="宋体" w:cs="宋体"/>
                <w:b/>
                <w:color w:val="000000"/>
                <w:highlight w:val="none"/>
                <w:vertAlign w:val="baseline"/>
              </w:rPr>
            </w:r>
            <w:r/>
          </w:p>
        </w:tc>
      </w:tr>
      <w:tr>
        <w:trPr>
          <w:trHeight w:val="3240"/>
        </w:trPr>
        <w:tc>
          <w:tcPr>
            <w:shd w:val="clear" w:color="auto" w:fill="auto"/>
            <w:tcW w:w="494"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58</w:t>
            </w:r>
            <w:r/>
          </w:p>
        </w:tc>
        <w:tc>
          <w:tcPr>
            <w:shd w:val="clear" w:color="auto" w:fill="auto"/>
            <w:tcW w:w="1315"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降温背心</w:t>
            </w:r>
            <w:r/>
          </w:p>
        </w:tc>
        <w:tc>
          <w:tcPr>
            <w:tcW w:w="6427"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符合XF1265-2015《蓄冷型消防员降温背心》标准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1、利用先进的保温性来延长降温的时间，在不破损和正常使用保养的情况下降温袋可以被预冷几千次或2年以上。</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2、持久恒定温度，在外环境温度为90华氏度下持续3-6小时的14~20℃接触温度。它由马甲，蓄冷袋和隔冷板四部分构成。</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3、用途：适用高温、高热、高湿环境下防暑降温，如冶金、铸造、玻璃、消防等。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4、质量≤1.5kg。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5、外层阻燃性能：损毁长度经向≤90mm、纬向90mm，续燃时间0s。</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6、外层断裂强力≥经向1200N、纬向580N。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7、外层撕破强力≥经向66N、纬向35N。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8、耐洗色牢度≥3级。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9、耐水摩擦色牢度≥3级。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10、蓄冷剂相变热≥吸热420kj/kg。</w:t>
            </w:r>
            <w:r/>
          </w:p>
        </w:tc>
        <w:tc>
          <w:tcPr>
            <w:tcW w:w="1182" w:type="dxa"/>
            <w:textDirection w:val="lrTb"/>
            <w:noWrap w:val="false"/>
          </w:tcPr>
          <w:p>
            <w:pPr>
              <w:spacing w:after="0" w:line="240" w:lineRule="auto"/>
              <w:rPr>
                <w:rFonts w:hint="eastAsia" w:ascii="宋体" w:hAnsi="宋体" w:eastAsia="宋体" w:cs="宋体"/>
                <w:b/>
                <w:color w:val="000000"/>
                <w:highlight w:val="none"/>
                <w:vertAlign w:val="baseline"/>
              </w:rPr>
            </w:pPr>
            <w:r>
              <w:rPr>
                <w:rFonts w:hint="eastAsia" w:ascii="宋体" w:hAnsi="宋体" w:eastAsia="宋体" w:cs="宋体"/>
                <w:b/>
                <w:color w:val="000000"/>
                <w:highlight w:val="none"/>
                <w:vertAlign w:val="baseline"/>
              </w:rPr>
            </w:r>
            <w:r/>
          </w:p>
        </w:tc>
      </w:tr>
      <w:tr>
        <w:trPr>
          <w:trHeight w:val="937"/>
        </w:trPr>
        <w:tc>
          <w:tcPr>
            <w:shd w:val="clear" w:color="auto" w:fill="auto"/>
            <w:tcW w:w="494"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59</w:t>
            </w:r>
            <w:r/>
          </w:p>
        </w:tc>
        <w:tc>
          <w:tcPr>
            <w:shd w:val="clear" w:color="auto" w:fill="auto"/>
            <w:tcW w:w="1315"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移动泡沫钩管</w:t>
            </w:r>
            <w:r/>
          </w:p>
        </w:tc>
        <w:tc>
          <w:tcPr>
            <w:tcW w:w="6427"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1、工作压力（MPa）：0.5-0.8</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2、混合液流量（L/s）： ≥16</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3、发泡倍数≥5</w:t>
            </w:r>
            <w:r/>
          </w:p>
        </w:tc>
        <w:tc>
          <w:tcPr>
            <w:tcW w:w="1182" w:type="dxa"/>
            <w:textDirection w:val="lrTb"/>
            <w:noWrap w:val="false"/>
          </w:tcPr>
          <w:p>
            <w:pPr>
              <w:spacing w:after="0" w:line="240" w:lineRule="auto"/>
              <w:rPr>
                <w:rFonts w:hint="eastAsia" w:ascii="宋体" w:hAnsi="宋体" w:eastAsia="宋体" w:cs="宋体"/>
                <w:b/>
                <w:color w:val="000000"/>
                <w:highlight w:val="none"/>
                <w:vertAlign w:val="baseline"/>
              </w:rPr>
            </w:pPr>
            <w:r>
              <w:rPr>
                <w:rFonts w:hint="eastAsia" w:ascii="宋体" w:hAnsi="宋体" w:eastAsia="宋体" w:cs="宋体"/>
                <w:b/>
                <w:color w:val="000000"/>
                <w:highlight w:val="none"/>
                <w:vertAlign w:val="baseline"/>
              </w:rPr>
            </w:r>
            <w:r/>
          </w:p>
        </w:tc>
      </w:tr>
      <w:tr>
        <w:trPr>
          <w:trHeight w:val="2086"/>
        </w:trPr>
        <w:tc>
          <w:tcPr>
            <w:shd w:val="clear" w:color="auto" w:fill="auto"/>
            <w:tcW w:w="494"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60</w:t>
            </w:r>
            <w:r/>
          </w:p>
        </w:tc>
        <w:tc>
          <w:tcPr>
            <w:shd w:val="clear" w:color="auto" w:fill="auto"/>
            <w:tcW w:w="1315"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泡沫枪Q16</w:t>
            </w:r>
            <w:r/>
          </w:p>
        </w:tc>
        <w:tc>
          <w:tcPr>
            <w:tcW w:w="6427"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1、符合GB 25202-2010 《低倍数泡沫枪》的标准，提供国家认可的检测机构出具的检测报告，检测(验)报告须带“CMA”标识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2、额定工作压力MPa：≤0.8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3、混合液额定流量L/s：≥16；</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4、低倍发泡倍数：≥6.5；</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5、低倍数25%析水时间（min）：≥4.2；</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6、射程（m）：≥28；</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7、进水口径mm：65</w:t>
            </w:r>
            <w:r/>
          </w:p>
        </w:tc>
        <w:tc>
          <w:tcPr>
            <w:tcW w:w="1182" w:type="dxa"/>
            <w:textDirection w:val="lrTb"/>
            <w:noWrap w:val="false"/>
          </w:tcPr>
          <w:p>
            <w:pPr>
              <w:spacing w:after="0" w:line="240" w:lineRule="auto"/>
              <w:rPr>
                <w:rFonts w:hint="eastAsia" w:ascii="宋体" w:hAnsi="宋体" w:eastAsia="宋体" w:cs="宋体"/>
                <w:b/>
                <w:color w:val="000000"/>
                <w:highlight w:val="none"/>
                <w:vertAlign w:val="baseline"/>
              </w:rPr>
            </w:pPr>
            <w:r>
              <w:rPr>
                <w:rFonts w:hint="eastAsia" w:ascii="宋体" w:hAnsi="宋体" w:eastAsia="宋体" w:cs="宋体"/>
                <w:b/>
                <w:color w:val="000000"/>
                <w:highlight w:val="none"/>
                <w:vertAlign w:val="baseline"/>
              </w:rPr>
            </w:r>
            <w:r/>
          </w:p>
        </w:tc>
      </w:tr>
      <w:tr>
        <w:trPr>
          <w:trHeight w:val="1627"/>
        </w:trPr>
        <w:tc>
          <w:tcPr>
            <w:shd w:val="clear" w:color="auto" w:fill="auto"/>
            <w:tcW w:w="494"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61</w:t>
            </w:r>
            <w:r/>
          </w:p>
        </w:tc>
        <w:tc>
          <w:tcPr>
            <w:shd w:val="clear" w:color="auto" w:fill="auto"/>
            <w:tcW w:w="1315"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泡沫枪Q8</w:t>
            </w:r>
            <w:r/>
          </w:p>
        </w:tc>
        <w:tc>
          <w:tcPr>
            <w:tcW w:w="6427"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1、额定工作压力MPa：≤0.7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2、混合液额定流量L/s：≥8；</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3、低倍发泡倍数（20℃）≥6.3；</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4、低倍数25%析水时间（min）：≥2.7；</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5、射程m：≥24；</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6、进水口径mm：65</w:t>
            </w:r>
            <w:r/>
          </w:p>
        </w:tc>
        <w:tc>
          <w:tcPr>
            <w:tcW w:w="1182" w:type="dxa"/>
            <w:textDirection w:val="lrTb"/>
            <w:noWrap w:val="false"/>
          </w:tcPr>
          <w:p>
            <w:pPr>
              <w:spacing w:after="0" w:line="240" w:lineRule="auto"/>
              <w:rPr>
                <w:rFonts w:hint="eastAsia" w:ascii="宋体" w:hAnsi="宋体" w:eastAsia="宋体" w:cs="宋体"/>
                <w:b/>
                <w:color w:val="000000"/>
                <w:highlight w:val="none"/>
                <w:vertAlign w:val="baseline"/>
              </w:rPr>
            </w:pPr>
            <w:r>
              <w:rPr>
                <w:rFonts w:hint="eastAsia" w:ascii="宋体" w:hAnsi="宋体" w:eastAsia="宋体" w:cs="宋体"/>
                <w:b/>
                <w:color w:val="000000"/>
                <w:highlight w:val="none"/>
                <w:vertAlign w:val="baseline"/>
              </w:rPr>
            </w:r>
            <w:r/>
          </w:p>
        </w:tc>
      </w:tr>
      <w:tr>
        <w:trPr>
          <w:trHeight w:val="684"/>
        </w:trPr>
        <w:tc>
          <w:tcPr>
            <w:shd w:val="clear" w:color="auto" w:fill="auto"/>
            <w:tcW w:w="494"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62</w:t>
            </w:r>
            <w:r/>
          </w:p>
        </w:tc>
        <w:tc>
          <w:tcPr>
            <w:shd w:val="clear" w:color="auto" w:fill="auto"/>
            <w:tcW w:w="1315"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水幕发生器</w:t>
            </w:r>
            <w:r/>
          </w:p>
        </w:tc>
        <w:tc>
          <w:tcPr>
            <w:tcW w:w="6427"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1、使用状态时用65mm水带接口相接；</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2、在供水压力为0.7兆帕时，每分钟喷水量≥1200升，</w:t>
            </w:r>
            <w:r/>
          </w:p>
        </w:tc>
        <w:tc>
          <w:tcPr>
            <w:tcW w:w="1182" w:type="dxa"/>
            <w:textDirection w:val="lrTb"/>
            <w:noWrap w:val="false"/>
          </w:tcPr>
          <w:p>
            <w:pPr>
              <w:spacing w:after="0" w:line="240" w:lineRule="auto"/>
              <w:rPr>
                <w:rFonts w:hint="eastAsia" w:ascii="宋体" w:hAnsi="宋体" w:eastAsia="宋体" w:cs="宋体"/>
                <w:b/>
                <w:color w:val="000000"/>
                <w:highlight w:val="none"/>
                <w:vertAlign w:val="baseline"/>
              </w:rPr>
            </w:pPr>
            <w:r>
              <w:rPr>
                <w:rFonts w:hint="eastAsia" w:ascii="宋体" w:hAnsi="宋体" w:eastAsia="宋体" w:cs="宋体"/>
                <w:b/>
                <w:color w:val="000000"/>
                <w:highlight w:val="none"/>
                <w:vertAlign w:val="baseline"/>
              </w:rPr>
            </w:r>
            <w:r/>
          </w:p>
        </w:tc>
      </w:tr>
      <w:tr>
        <w:trPr>
          <w:trHeight w:val="709"/>
        </w:trPr>
        <w:tc>
          <w:tcPr>
            <w:shd w:val="clear" w:color="auto" w:fill="auto"/>
            <w:tcW w:w="494"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63</w:t>
            </w:r>
            <w:r/>
          </w:p>
        </w:tc>
        <w:tc>
          <w:tcPr>
            <w:shd w:val="clear" w:color="auto" w:fill="auto"/>
            <w:tcW w:w="1315"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警戒标志杆</w:t>
            </w:r>
            <w:r/>
          </w:p>
        </w:tc>
        <w:tc>
          <w:tcPr>
            <w:tcW w:w="6427"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1、三角支架稳固性号，可挂安全网盒警示带，红白相间颜色醒目。</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2、材质：不锈钢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3、支架高度：≥1.2米，管壁直径：≥2.6cm</w:t>
            </w:r>
            <w:r/>
          </w:p>
        </w:tc>
        <w:tc>
          <w:tcPr>
            <w:tcW w:w="1182" w:type="dxa"/>
            <w:textDirection w:val="lrTb"/>
            <w:noWrap w:val="false"/>
          </w:tcPr>
          <w:p>
            <w:pPr>
              <w:spacing w:after="0" w:line="240" w:lineRule="auto"/>
              <w:rPr>
                <w:rFonts w:hint="eastAsia" w:ascii="宋体" w:hAnsi="宋体" w:eastAsia="宋体" w:cs="宋体"/>
                <w:b/>
                <w:color w:val="000000"/>
                <w:highlight w:val="none"/>
                <w:vertAlign w:val="baseline"/>
              </w:rPr>
            </w:pPr>
            <w:r>
              <w:rPr>
                <w:rFonts w:hint="eastAsia" w:ascii="宋体" w:hAnsi="宋体" w:eastAsia="宋体" w:cs="宋体"/>
                <w:b/>
                <w:color w:val="000000"/>
                <w:highlight w:val="none"/>
                <w:vertAlign w:val="baseline"/>
              </w:rPr>
            </w:r>
            <w:r/>
          </w:p>
        </w:tc>
      </w:tr>
      <w:tr>
        <w:trPr>
          <w:trHeight w:val="1522"/>
        </w:trPr>
        <w:tc>
          <w:tcPr>
            <w:shd w:val="clear" w:color="auto" w:fill="auto"/>
            <w:tcW w:w="494"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64</w:t>
            </w:r>
            <w:r/>
          </w:p>
        </w:tc>
        <w:tc>
          <w:tcPr>
            <w:shd w:val="clear" w:color="auto" w:fill="auto"/>
            <w:tcW w:w="1315"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防爆探照灯</w:t>
            </w:r>
            <w:r/>
          </w:p>
        </w:tc>
        <w:tc>
          <w:tcPr>
            <w:tcW w:w="6427"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1、光源（LED）：额定功率≥LED3×5W，平均使用寿命≥100000h</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2、具有工作光、强光、频闪三种光设计，按动按钮可进行自由转换；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3、强光远射距离，实测≥2100米，弱光≥900米；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4、密封性好，可在≥100米水下长时间正常工作；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5、连续放电时间：强光≥8h，工作光≥16h；</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6、提供防爆合格证</w:t>
            </w:r>
            <w:r/>
          </w:p>
        </w:tc>
        <w:tc>
          <w:tcPr>
            <w:tcW w:w="1182" w:type="dxa"/>
            <w:textDirection w:val="lrTb"/>
            <w:noWrap w:val="false"/>
          </w:tcPr>
          <w:p>
            <w:pPr>
              <w:spacing w:after="0" w:line="240" w:lineRule="auto"/>
              <w:rPr>
                <w:rFonts w:hint="eastAsia" w:ascii="宋体" w:hAnsi="宋体" w:eastAsia="宋体" w:cs="宋体"/>
                <w:b/>
                <w:color w:val="000000"/>
                <w:highlight w:val="none"/>
                <w:vertAlign w:val="baseline"/>
              </w:rPr>
            </w:pPr>
            <w:r>
              <w:rPr>
                <w:rFonts w:hint="eastAsia" w:ascii="宋体" w:hAnsi="宋体" w:eastAsia="宋体" w:cs="宋体"/>
                <w:b/>
                <w:color w:val="000000"/>
                <w:highlight w:val="none"/>
                <w:vertAlign w:val="baseline"/>
              </w:rPr>
            </w:r>
            <w:r/>
          </w:p>
        </w:tc>
      </w:tr>
      <w:tr>
        <w:trPr>
          <w:trHeight w:val="479"/>
        </w:trPr>
        <w:tc>
          <w:tcPr>
            <w:shd w:val="clear" w:color="auto" w:fill="auto"/>
            <w:tcW w:w="494"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65</w:t>
            </w:r>
            <w:r/>
          </w:p>
        </w:tc>
        <w:tc>
          <w:tcPr>
            <w:shd w:val="clear" w:color="auto" w:fill="auto"/>
            <w:tcW w:w="1315"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无齿锯锯片</w:t>
            </w:r>
            <w:r/>
          </w:p>
        </w:tc>
        <w:tc>
          <w:tcPr>
            <w:tcW w:w="6427"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1、锯片直径≥350mm，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2、双层网格防爆裂</w:t>
            </w:r>
            <w:r/>
          </w:p>
        </w:tc>
        <w:tc>
          <w:tcPr>
            <w:tcW w:w="1182" w:type="dxa"/>
            <w:textDirection w:val="lrTb"/>
            <w:noWrap w:val="false"/>
          </w:tcPr>
          <w:p>
            <w:pPr>
              <w:spacing w:after="0" w:line="240" w:lineRule="auto"/>
              <w:rPr>
                <w:rFonts w:hint="eastAsia" w:ascii="宋体" w:hAnsi="宋体" w:eastAsia="宋体" w:cs="宋体"/>
                <w:b/>
                <w:color w:val="000000"/>
                <w:highlight w:val="none"/>
                <w:vertAlign w:val="baseline"/>
              </w:rPr>
            </w:pPr>
            <w:r>
              <w:rPr>
                <w:rFonts w:hint="eastAsia" w:ascii="宋体" w:hAnsi="宋体" w:eastAsia="宋体" w:cs="宋体"/>
                <w:b/>
                <w:color w:val="000000"/>
                <w:highlight w:val="none"/>
                <w:vertAlign w:val="baseline"/>
              </w:rPr>
            </w:r>
            <w:r/>
          </w:p>
        </w:tc>
      </w:tr>
      <w:tr>
        <w:trPr>
          <w:trHeight w:val="3485"/>
        </w:trPr>
        <w:tc>
          <w:tcPr>
            <w:shd w:val="clear" w:color="auto" w:fill="auto"/>
            <w:tcW w:w="494"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66</w:t>
            </w:r>
            <w:r/>
          </w:p>
        </w:tc>
        <w:tc>
          <w:tcPr>
            <w:shd w:val="clear" w:color="auto" w:fill="auto"/>
            <w:tcW w:w="1315"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舷外机</w:t>
            </w:r>
            <w:r/>
          </w:p>
        </w:tc>
        <w:tc>
          <w:tcPr>
            <w:tcW w:w="6427"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1、产品为2冲程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2、气缸数：2</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3、输出功率： 30HP/（≥22.1kw）</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4、排气量 ：≥496cc</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5、启动方式：手动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6、操作方式：后操</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7、档位： 前--空--倒档</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8、起动发动机落水后1分钟，通过沥干、排水措施，2 次拉发能正常起动。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9、操舵灵活，左满舵角度≥46°，右满舵角度≥45°.</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10、舷外机横倾10°，纵倾5°，时长10分钟后能正常工作，不影响使用。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11、燃油 ：无铅汽油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12、冷确系统：水冷</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13、净重：＜54KG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14、最大转数（RPM）：4500-5500 </w:t>
            </w:r>
            <w:r/>
          </w:p>
        </w:tc>
        <w:tc>
          <w:tcPr>
            <w:tcW w:w="1182" w:type="dxa"/>
            <w:textDirection w:val="lrTb"/>
            <w:noWrap w:val="false"/>
          </w:tcPr>
          <w:p>
            <w:pPr>
              <w:spacing w:after="0" w:line="240" w:lineRule="auto"/>
              <w:rPr>
                <w:rFonts w:hint="eastAsia" w:ascii="宋体" w:hAnsi="宋体" w:eastAsia="宋体" w:cs="宋体"/>
                <w:b/>
                <w:color w:val="000000"/>
                <w:highlight w:val="none"/>
                <w:vertAlign w:val="baseline"/>
              </w:rPr>
            </w:pPr>
            <w:r>
              <w:rPr>
                <w:rFonts w:hint="eastAsia" w:ascii="宋体" w:hAnsi="宋体" w:eastAsia="宋体" w:cs="宋体"/>
                <w:b/>
                <w:color w:val="000000"/>
                <w:highlight w:val="none"/>
                <w:vertAlign w:val="baseline"/>
              </w:rPr>
            </w:r>
            <w:r/>
          </w:p>
        </w:tc>
      </w:tr>
      <w:tr>
        <w:trPr>
          <w:trHeight w:val="2086"/>
        </w:trPr>
        <w:tc>
          <w:tcPr>
            <w:shd w:val="clear" w:color="auto" w:fill="auto"/>
            <w:tcW w:w="494"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67</w:t>
            </w:r>
            <w:r/>
          </w:p>
        </w:tc>
        <w:tc>
          <w:tcPr>
            <w:shd w:val="clear" w:color="auto" w:fill="auto"/>
            <w:tcW w:w="1315"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50米静力绳</w:t>
            </w:r>
            <w:r/>
          </w:p>
        </w:tc>
        <w:tc>
          <w:tcPr>
            <w:tcW w:w="6427"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符合XF 494-2023《消防用防坠落装备》标准，具有CNAS/CMA 资质认证的第三方检测机构出具的产品检测报告。</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1.材质：尼龙；</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2.直径：10.5mm；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3.破断强度：30kN；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4.延伸率：当承重达到最小破断强度的10%时，延伸率≤8%；</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4.耐高温性能：经204℃±5℃的耐高温性能试验后，安全绳无融熔、焦化现象；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5.采用连续结构、包芯绳结构。</w:t>
            </w:r>
            <w:r/>
          </w:p>
        </w:tc>
        <w:tc>
          <w:tcPr>
            <w:tcW w:w="1182" w:type="dxa"/>
            <w:textDirection w:val="lrTb"/>
            <w:noWrap w:val="false"/>
          </w:tcPr>
          <w:p>
            <w:pPr>
              <w:spacing w:after="0" w:line="240" w:lineRule="auto"/>
              <w:rPr>
                <w:rFonts w:hint="eastAsia" w:ascii="宋体" w:hAnsi="宋体" w:eastAsia="宋体" w:cs="宋体"/>
                <w:b/>
                <w:color w:val="000000"/>
                <w:highlight w:val="none"/>
                <w:vertAlign w:val="baseline"/>
              </w:rPr>
            </w:pPr>
            <w:r>
              <w:rPr>
                <w:rFonts w:hint="eastAsia" w:ascii="宋体" w:hAnsi="宋体" w:eastAsia="宋体" w:cs="宋体"/>
                <w:b/>
                <w:color w:val="000000"/>
                <w:highlight w:val="none"/>
                <w:vertAlign w:val="baseline"/>
              </w:rPr>
            </w:r>
            <w:r/>
          </w:p>
        </w:tc>
      </w:tr>
      <w:tr>
        <w:trPr>
          <w:trHeight w:val="709"/>
        </w:trPr>
        <w:tc>
          <w:tcPr>
            <w:shd w:val="clear" w:color="auto" w:fill="auto"/>
            <w:tcW w:w="494"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68</w:t>
            </w:r>
            <w:r/>
          </w:p>
        </w:tc>
        <w:tc>
          <w:tcPr>
            <w:shd w:val="clear" w:color="auto" w:fill="auto"/>
            <w:tcW w:w="1315"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直流炮头</w:t>
            </w:r>
            <w:r/>
          </w:p>
        </w:tc>
        <w:tc>
          <w:tcPr>
            <w:tcW w:w="6427"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1、额定工作压力≤1.0MPa；额定流量：30L/s；</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2、射程≥57米；最大喷雾角≥110°；俯仰角+30°~+70°；重量≤10.5kg</w:t>
            </w:r>
            <w:r/>
          </w:p>
        </w:tc>
        <w:tc>
          <w:tcPr>
            <w:tcW w:w="1182" w:type="dxa"/>
            <w:textDirection w:val="lrTb"/>
            <w:noWrap w:val="false"/>
          </w:tcPr>
          <w:p>
            <w:pPr>
              <w:spacing w:after="0" w:line="240" w:lineRule="auto"/>
              <w:rPr>
                <w:rFonts w:hint="eastAsia" w:ascii="宋体" w:hAnsi="宋体" w:eastAsia="宋体" w:cs="宋体"/>
                <w:b/>
                <w:color w:val="000000"/>
                <w:highlight w:val="none"/>
                <w:vertAlign w:val="baseline"/>
              </w:rPr>
            </w:pPr>
            <w:r>
              <w:rPr>
                <w:rFonts w:hint="eastAsia" w:ascii="宋体" w:hAnsi="宋体" w:eastAsia="宋体" w:cs="宋体"/>
                <w:b/>
                <w:color w:val="000000"/>
                <w:highlight w:val="none"/>
                <w:vertAlign w:val="baseline"/>
              </w:rPr>
            </w:r>
            <w:r/>
          </w:p>
        </w:tc>
      </w:tr>
      <w:tr>
        <w:trPr>
          <w:trHeight w:val="3009"/>
        </w:trPr>
        <w:tc>
          <w:tcPr>
            <w:shd w:val="clear" w:color="auto" w:fill="auto"/>
            <w:tcW w:w="494"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69</w:t>
            </w:r>
            <w:r/>
          </w:p>
        </w:tc>
        <w:tc>
          <w:tcPr>
            <w:shd w:val="clear" w:color="auto" w:fill="auto"/>
            <w:tcW w:w="1315"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比武水枪</w:t>
            </w:r>
            <w:r/>
          </w:p>
        </w:tc>
        <w:tc>
          <w:tcPr>
            <w:tcW w:w="6427"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符合GB8181-2005《消防水枪》标准，提供国家认可的检测机构出具的检测报告，检测(验)报告须带“CMA”标识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1、水枪枪体：选用铝合金6061T6工艺铝型材，表面阳极氧化防腐处理；接口：进水口采用锻造雄接口/锻造内扣接口锻造雌管接口</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手柄：选用杜邦尼龙材质，内有铝合金框架，在高温低温环境本身不发生变化，强冲击力下无发生断裂发生；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雾轮：锻造不锈钢材质为，抗氧化、在高温低温环境本身不发生变化，强冲击力下无发生断裂发生；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2、在喷射压力为0.6MPa时流量挡位为2档：2.5-4.0L/S；</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3、射程≥25米；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4、喷雾角度为0-120度；</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5、含锻造快速(KYKA65)接口的重量≤1.2公斤；</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6、入水口带有不锈钢过滤网，防止杂物进入枪体</w:t>
            </w:r>
            <w:r/>
          </w:p>
        </w:tc>
        <w:tc>
          <w:tcPr>
            <w:tcW w:w="1182" w:type="dxa"/>
            <w:textDirection w:val="lrTb"/>
            <w:noWrap w:val="false"/>
          </w:tcPr>
          <w:p>
            <w:pPr>
              <w:spacing w:after="0" w:line="240" w:lineRule="auto"/>
              <w:rPr>
                <w:rFonts w:hint="eastAsia" w:ascii="宋体" w:hAnsi="宋体" w:eastAsia="宋体" w:cs="宋体"/>
                <w:b/>
                <w:color w:val="000000"/>
                <w:highlight w:val="none"/>
                <w:vertAlign w:val="baseline"/>
              </w:rPr>
            </w:pPr>
            <w:r>
              <w:rPr>
                <w:rFonts w:hint="eastAsia" w:ascii="宋体" w:hAnsi="宋体" w:eastAsia="宋体" w:cs="宋体"/>
                <w:b/>
                <w:color w:val="000000"/>
                <w:highlight w:val="none"/>
                <w:vertAlign w:val="baseline"/>
              </w:rPr>
            </w:r>
            <w:r/>
          </w:p>
        </w:tc>
      </w:tr>
      <w:tr>
        <w:trPr>
          <w:trHeight w:val="3030"/>
        </w:trPr>
        <w:tc>
          <w:tcPr>
            <w:shd w:val="clear" w:color="auto" w:fill="auto"/>
            <w:tcW w:w="494"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70</w:t>
            </w:r>
            <w:r/>
          </w:p>
        </w:tc>
        <w:tc>
          <w:tcPr>
            <w:shd w:val="clear" w:color="auto" w:fill="auto"/>
            <w:tcW w:w="1315"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20-80-50超轻水带+</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锻造快速接口</w:t>
            </w:r>
            <w:r/>
          </w:p>
        </w:tc>
        <w:tc>
          <w:tcPr>
            <w:tcW w:w="6427"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产品符合GB6246-2011《消防水带》和消防类产品认证实施规则CCCF-CPRZ-25:2019的标准要求。提提供国家认可的检测机构出具的检测报告，检测(验)报告须带“CMA”标识和消防产品合格评定中心出具的消防产品认证证书。</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2、水带口径为80mm，标准工作压力≥2.0MPa，爆破压力≥8.64MPa，单位长度质量≤225g/m，延伸率≤0.6%，膨胀率≤1.6%，织物层与衬里附着强度≥29.8N/25MM,扯断伸长率≥424.4%，扯断强度≥55.2MPa，</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3、热空气老化：织物层与衬里附着强度≥108.7%，爆破压力≥92.4%，每卷长度为50米。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4、水带两头均配有80口径的锻造快速接口。带口缠绕铁丝为5道，水带和接口捆绑处有水带护皮保护以防损坏。</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5.水带一端清楚的标志着生产企业名称、产品名称和规格、生产日期及经线纬线和衬里材料.印刷的相关信息永不掉落。   </w:t>
            </w:r>
            <w:r/>
          </w:p>
        </w:tc>
        <w:tc>
          <w:tcPr>
            <w:tcW w:w="1182" w:type="dxa"/>
            <w:textDirection w:val="lrTb"/>
            <w:noWrap w:val="false"/>
          </w:tcPr>
          <w:p>
            <w:pPr>
              <w:spacing w:after="0" w:line="240" w:lineRule="auto"/>
              <w:rPr>
                <w:rFonts w:hint="eastAsia" w:ascii="宋体" w:hAnsi="宋体" w:eastAsia="宋体" w:cs="宋体"/>
                <w:b/>
                <w:color w:val="000000"/>
                <w:highlight w:val="none"/>
                <w:vertAlign w:val="baseline"/>
              </w:rPr>
            </w:pPr>
            <w:r>
              <w:rPr>
                <w:rFonts w:hint="eastAsia" w:ascii="宋体" w:hAnsi="宋体" w:eastAsia="宋体" w:cs="宋体"/>
                <w:b/>
                <w:color w:val="000000"/>
                <w:highlight w:val="none"/>
                <w:vertAlign w:val="baseline"/>
              </w:rPr>
            </w:r>
            <w:r/>
          </w:p>
        </w:tc>
      </w:tr>
    </w:tbl>
    <w:p>
      <w:pPr>
        <w:keepLines w:val="0"/>
        <w:keepNext w:val="0"/>
        <w:pageBreakBefore w:val="0"/>
        <w:spacing w:line="480" w:lineRule="exact"/>
        <w:widowControl/>
        <w:rPr>
          <w:rFonts w:hint="eastAsia" w:ascii="宋体" w:hAnsi="宋体" w:eastAsia="宋体" w:cs="宋体"/>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val="en-US" w:eastAsia="zh-CN"/>
        </w:rPr>
      </w:r>
      <w:r/>
    </w:p>
    <w:p>
      <w:pPr>
        <w:keepLines w:val="0"/>
        <w:keepNext w:val="0"/>
        <w:pageBreakBefore w:val="0"/>
        <w:spacing w:line="480" w:lineRule="exact"/>
        <w:widowControl/>
        <w:rPr>
          <w:rFonts w:hint="eastAsia" w:ascii="宋体" w:hAnsi="宋体" w:eastAsia="宋体" w:cs="宋体"/>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val="en-US" w:eastAsia="zh-CN"/>
        </w:rPr>
        <w:t xml:space="preserve">注：1.满足招标文件要求的详细技术参数、配置（功能）要求并适于使用。</w:t>
      </w:r>
      <w:r/>
    </w:p>
    <w:p>
      <w:pPr>
        <w:ind w:firstLine="420"/>
        <w:keepLines w:val="0"/>
        <w:keepNext w:val="0"/>
        <w:pageBreakBefore w:val="0"/>
        <w:spacing w:line="480" w:lineRule="exact"/>
        <w:widowControl/>
        <w:rPr>
          <w:rFonts w:hint="eastAsia" w:ascii="宋体" w:hAnsi="宋体" w:eastAsia="宋体" w:cs="宋体"/>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val="en-US" w:eastAsia="zh-CN"/>
        </w:rPr>
        <w:t xml:space="preserve">2.质量保证：报价货物是全新的、未使用过的，并且是非长期积压的库存产品，完全符合采购设备规定的质量、规格和性能的要求，供应商应保证其提供的货物在正确安装、正常使用和保养条件下，在规定的使用寿命期内具有良好的性能。所提供货物质量必须符合国家相关标准，必须满足本次采购的要求。所有报价的产品，各项技术应当符合国家（强制性）标准及各项规范要求；国家没有相应标准、规范的，可使用行业标准、规定；非标准设备按招标约定的技术要求和规范。如质量出现问题，中标供应商负责“三包”，费用由中标供应商负责。</w:t>
      </w:r>
      <w:r/>
    </w:p>
    <w:p>
      <w:pPr>
        <w:ind w:firstLine="420"/>
        <w:keepLines w:val="0"/>
        <w:keepNext w:val="0"/>
        <w:pageBreakBefore w:val="0"/>
        <w:spacing w:line="480" w:lineRule="exact"/>
        <w:widowControl/>
        <w:rPr>
          <w:rFonts w:hint="eastAsia" w:ascii="宋体" w:hAnsi="宋体" w:eastAsia="宋体" w:cs="宋体"/>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val="en-US" w:eastAsia="zh-CN"/>
        </w:rPr>
        <w:t xml:space="preserve">★3.中标供应商在交货时，须提供满足技术参数要求的相关检测报告等原始文件供采购人验收，否则采购人有权拒绝接受产品。</w:t>
      </w:r>
      <w:r/>
    </w:p>
    <w:p>
      <w:pPr>
        <w:ind w:firstLine="420"/>
        <w:keepLines w:val="0"/>
        <w:keepNext w:val="0"/>
        <w:pageBreakBefore w:val="0"/>
        <w:spacing w:line="480" w:lineRule="exact"/>
        <w:widowControl/>
        <w:rPr>
          <w:rFonts w:hint="eastAsia" w:ascii="宋体" w:hAnsi="宋体" w:eastAsia="宋体" w:cs="宋体"/>
          <w:b/>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val="en-US" w:eastAsia="zh-CN"/>
        </w:rPr>
        <w:t xml:space="preserve">4.本次采购的供货范围，除包括上述货物外，还应包括货物使用所必需的配件。</w:t>
      </w:r>
      <w:r/>
    </w:p>
    <w:p>
      <w:pPr>
        <w:ind w:firstLine="422"/>
        <w:keepLines w:val="0"/>
        <w:keepNext w:val="0"/>
        <w:pageBreakBefore w:val="0"/>
        <w:spacing w:line="480" w:lineRule="exact"/>
        <w:widowControl/>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highlight w:val="none"/>
          <w:lang w:val="en-US" w:eastAsia="zh-CN"/>
        </w:rPr>
        <w:t xml:space="preserve">三、</w:t>
      </w:r>
      <w:r>
        <w:rPr>
          <w:rFonts w:hint="eastAsia" w:ascii="宋体" w:hAnsi="宋体" w:eastAsia="宋体" w:cs="宋体"/>
          <w:b/>
          <w:bCs/>
          <w:color w:val="000000"/>
          <w:highlight w:val="none"/>
        </w:rPr>
        <w:t xml:space="preserve">交货及验收要求</w:t>
      </w:r>
      <w:r/>
    </w:p>
    <w:p>
      <w:pPr>
        <w:ind w:firstLine="420"/>
        <w:keepLines w:val="0"/>
        <w:keepNext w:val="0"/>
        <w:pageBreakBefore w:val="0"/>
        <w:spacing w:line="480" w:lineRule="exact"/>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1、供应商应按招标文件规定的时间和方式向采购人交付货物，交货地点由采购人指定。</w:t>
      </w:r>
      <w:r/>
    </w:p>
    <w:p>
      <w:pPr>
        <w:ind w:firstLine="420"/>
        <w:keepLines w:val="0"/>
        <w:keepNext w:val="0"/>
        <w:pageBreakBefore w:val="0"/>
        <w:spacing w:line="480" w:lineRule="exact"/>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2</w:t>
      </w:r>
      <w:bookmarkStart w:id="7" w:name="_Hlk181726265"/>
      <w:r>
        <w:rPr>
          <w:rFonts w:hint="eastAsia" w:ascii="宋体" w:hAnsi="宋体" w:eastAsia="宋体" w:cs="宋体"/>
          <w:color w:val="000000"/>
          <w:highlight w:val="none"/>
        </w:rPr>
        <w:t xml:space="preserve">、供应商交付的货物应当完全符合本合同或者公开招标文件所规定的货物、数量、规格和包装要求。供应商不得少交或多交货物。供应商提供的货物不符合公开招标文件和合同规定的，或货物的包装存在破损等不符合合同约定的情形时，采购人有权拒收货物，由此引起的风险，由供应商承担。供应商应按照合同约定和公开招标文件的规定的货物、型号、规格重新向采购人交付货物，相关费用由供应商自行承担。如经采购人再次验收，供应商提供货物仍不符合合同和公开招标文件规定的，视为供应商不能交付货物。</w:t>
      </w:r>
      <w:bookmarkEnd w:id="7"/>
      <w:r/>
      <w:r/>
    </w:p>
    <w:p>
      <w:pPr>
        <w:ind w:firstLine="420"/>
        <w:keepLines w:val="0"/>
        <w:keepNext w:val="0"/>
        <w:pageBreakBefore w:val="0"/>
        <w:spacing w:line="480" w:lineRule="exact"/>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3、货物的到货验收包括：型号、规格、数量、外观质量及货物包装是否完好。</w:t>
      </w:r>
      <w:r/>
    </w:p>
    <w:p>
      <w:pPr>
        <w:ind w:firstLine="420"/>
        <w:keepLines w:val="0"/>
        <w:keepNext w:val="0"/>
        <w:pageBreakBefore w:val="0"/>
        <w:spacing w:line="480" w:lineRule="exact"/>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4、供应商应将所提供货物的装箱清单、用户手册、原厂保修卡及配件、随机工具等交付给采购人；供应商不能完整交付货物及本款规定的单证和工具的，视为未按合同约定交货</w:t>
      </w:r>
      <w:r>
        <w:rPr>
          <w:rFonts w:hint="eastAsia" w:ascii="宋体" w:hAnsi="宋体" w:eastAsia="宋体" w:cs="宋体"/>
          <w:color w:val="000000"/>
          <w:highlight w:val="none"/>
          <w:lang w:eastAsia="zh-CN"/>
        </w:rPr>
        <w:t xml:space="preserve">，由</w:t>
      </w:r>
      <w:r>
        <w:rPr>
          <w:rFonts w:hint="eastAsia" w:ascii="宋体" w:hAnsi="宋体" w:eastAsia="宋体" w:cs="宋体"/>
          <w:color w:val="000000"/>
          <w:highlight w:val="none"/>
        </w:rPr>
        <w:t xml:space="preserve">供应商负责补齐，因此导致逾期交付的，由供应商根据合同约定承担违约责任。</w:t>
      </w:r>
      <w:r/>
    </w:p>
    <w:p>
      <w:pPr>
        <w:ind w:firstLine="420"/>
        <w:keepLines w:val="0"/>
        <w:keepNext w:val="0"/>
        <w:pageBreakBefore w:val="0"/>
        <w:spacing w:line="480" w:lineRule="exact"/>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5</w:t>
      </w:r>
      <w:bookmarkStart w:id="8" w:name="_Hlk181726330"/>
      <w:r>
        <w:rPr>
          <w:rFonts w:hint="eastAsia" w:ascii="宋体" w:hAnsi="宋体" w:eastAsia="宋体" w:cs="宋体"/>
          <w:color w:val="000000"/>
          <w:highlight w:val="none"/>
        </w:rPr>
        <w:t xml:space="preserve">、采购人应当在到货后的15个工作日内对货物进行外观验收；需要供应商对货物或系统进行安装调试的，采购人应在货物安装调试完毕后的15个工作日内进行质量验收。验收合格的，由采购人签署验收单并加盖单位公章。公开招标文件对检验期限另有规定的，从其规定。</w:t>
      </w:r>
      <w:bookmarkEnd w:id="8"/>
      <w:r/>
      <w:r/>
    </w:p>
    <w:p>
      <w:pPr>
        <w:ind w:firstLine="420"/>
        <w:keepLines w:val="0"/>
        <w:keepNext w:val="0"/>
        <w:pageBreakBefore w:val="0"/>
        <w:spacing w:line="480" w:lineRule="exact"/>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6、货物和调试验收标准：</w:t>
      </w:r>
      <w:r>
        <w:rPr>
          <w:rFonts w:hint="eastAsia" w:ascii="宋体" w:hAnsi="宋体" w:eastAsia="宋体" w:cs="宋体"/>
          <w:color w:val="000000"/>
          <w:highlight w:val="none"/>
          <w:lang w:val="zh-CN"/>
        </w:rPr>
        <w:t xml:space="preserve">按行业通行标准、招标文件要求和供应商投标文件的承诺（不低于国家相关标准），</w:t>
      </w:r>
      <w:r>
        <w:rPr>
          <w:rFonts w:hint="eastAsia" w:ascii="宋体" w:hAnsi="宋体" w:eastAsia="宋体" w:cs="宋体"/>
          <w:color w:val="000000"/>
          <w:highlight w:val="none"/>
        </w:rPr>
        <w:t xml:space="preserve">甲方对供货商交付货物的主要参数指标进行检测（检测费用含在投标报价中）。</w:t>
      </w:r>
      <w:r/>
    </w:p>
    <w:p>
      <w:pPr>
        <w:ind w:firstLine="422"/>
        <w:keepLines w:val="0"/>
        <w:keepNext w:val="0"/>
        <w:pageBreakBefore w:val="0"/>
        <w:spacing w:line="480" w:lineRule="exact"/>
        <w:widowControl/>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highlight w:val="none"/>
          <w:lang w:val="en-US" w:eastAsia="zh-CN"/>
        </w:rPr>
        <w:t xml:space="preserve">四</w:t>
      </w:r>
      <w:r>
        <w:rPr>
          <w:rFonts w:hint="eastAsia" w:ascii="宋体" w:hAnsi="宋体" w:eastAsia="宋体" w:cs="宋体"/>
          <w:b/>
          <w:bCs/>
          <w:color w:val="000000"/>
          <w:highlight w:val="none"/>
        </w:rPr>
        <w:t xml:space="preserve">、安装技术要求</w:t>
      </w:r>
      <w:r/>
    </w:p>
    <w:p>
      <w:pPr>
        <w:ind w:firstLine="420"/>
        <w:keepLines w:val="0"/>
        <w:keepNext w:val="0"/>
        <w:pageBreakBefore w:val="0"/>
        <w:spacing w:line="480" w:lineRule="exact"/>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1、中标供应商按照采购人指定地点负责安装、现场调试等。所有安装质量、调试必须严格按照国家规范及江苏省、</w:t>
      </w:r>
      <w:r>
        <w:rPr>
          <w:rFonts w:hint="eastAsia" w:ascii="宋体" w:hAnsi="宋体" w:eastAsia="宋体" w:cs="宋体"/>
          <w:color w:val="000000"/>
          <w:highlight w:val="none"/>
          <w:lang w:val="en-US" w:eastAsia="zh-CN"/>
        </w:rPr>
        <w:t xml:space="preserve">南京</w:t>
      </w:r>
      <w:r>
        <w:rPr>
          <w:rFonts w:hint="eastAsia" w:ascii="宋体" w:hAnsi="宋体" w:eastAsia="宋体" w:cs="宋体"/>
          <w:color w:val="000000"/>
          <w:highlight w:val="none"/>
        </w:rPr>
        <w:t xml:space="preserve">市相应地方规范、采购文件、材料厂家的技术规范的有关要求执行；</w:t>
      </w:r>
      <w:r/>
    </w:p>
    <w:p>
      <w:pPr>
        <w:ind w:firstLine="420"/>
        <w:keepLines w:val="0"/>
        <w:keepNext w:val="0"/>
        <w:pageBreakBefore w:val="0"/>
        <w:spacing w:line="480" w:lineRule="exact"/>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2、中标供应商在进行设备安装时需满足现有设备基础；</w:t>
      </w:r>
      <w:r/>
    </w:p>
    <w:p>
      <w:pPr>
        <w:ind w:firstLine="420"/>
        <w:keepLines w:val="0"/>
        <w:keepNext w:val="0"/>
        <w:pageBreakBefore w:val="0"/>
        <w:spacing w:line="480" w:lineRule="exact"/>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3、中标供应商应对安装施工安全、质量全面负责，并承担成品保护，如因中标供应商原因造成安全、质量事故或损坏，中标供应商承担一切经济法律责任；</w:t>
      </w:r>
      <w:r/>
    </w:p>
    <w:p>
      <w:pPr>
        <w:ind w:firstLine="420"/>
        <w:keepLines w:val="0"/>
        <w:keepNext w:val="0"/>
        <w:pageBreakBefore w:val="0"/>
        <w:spacing w:line="480" w:lineRule="exact"/>
        <w:widowControl/>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4、中标供应商负责标的物合格、正常、安全使用，并保证能通过相关部门的验收</w:t>
      </w:r>
      <w:r>
        <w:rPr>
          <w:rFonts w:hint="eastAsia" w:ascii="宋体" w:hAnsi="宋体" w:eastAsia="宋体" w:cs="宋体"/>
          <w:color w:val="000000"/>
          <w:highlight w:val="none"/>
          <w:lang w:eastAsia="zh-CN"/>
        </w:rPr>
        <w:t xml:space="preserve">。</w:t>
      </w:r>
      <w:r/>
    </w:p>
    <w:p>
      <w:pPr>
        <w:ind w:firstLine="422"/>
        <w:keepLines w:val="0"/>
        <w:keepNext w:val="0"/>
        <w:pageBreakBefore w:val="0"/>
        <w:spacing w:line="480" w:lineRule="exact"/>
        <w:widowControl/>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highlight w:val="none"/>
          <w:lang w:val="en-US" w:eastAsia="zh-CN"/>
        </w:rPr>
        <w:t xml:space="preserve">五</w:t>
      </w:r>
      <w:r>
        <w:rPr>
          <w:rFonts w:hint="eastAsia" w:ascii="宋体" w:hAnsi="宋体" w:eastAsia="宋体" w:cs="宋体"/>
          <w:b/>
          <w:bCs/>
          <w:color w:val="000000"/>
          <w:highlight w:val="none"/>
        </w:rPr>
        <w:t xml:space="preserve">、售后服务要求</w:t>
      </w:r>
      <w:r/>
    </w:p>
    <w:p>
      <w:pPr>
        <w:ind w:firstLine="420"/>
        <w:keepLines w:val="0"/>
        <w:keepNext w:val="0"/>
        <w:pageBreakBefore w:val="0"/>
        <w:spacing w:line="480" w:lineRule="exact"/>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1、自验收合格之日起一年；质保期</w:t>
      </w:r>
      <w:r>
        <w:rPr>
          <w:rFonts w:hint="eastAsia" w:ascii="宋体" w:hAnsi="宋体" w:eastAsia="宋体" w:cs="宋体"/>
          <w:color w:val="000000"/>
          <w:highlight w:val="none"/>
          <w:lang w:eastAsia="zh-CN"/>
        </w:rPr>
        <w:t xml:space="preserve">一年</w:t>
      </w:r>
      <w:r>
        <w:rPr>
          <w:rFonts w:hint="eastAsia" w:ascii="宋体" w:hAnsi="宋体" w:eastAsia="宋体" w:cs="宋体"/>
          <w:color w:val="000000"/>
          <w:highlight w:val="none"/>
        </w:rPr>
        <w:t xml:space="preserve">满后，实行终身跟踪维修服务。</w:t>
      </w:r>
      <w:r/>
    </w:p>
    <w:p>
      <w:pPr>
        <w:ind w:firstLine="420"/>
        <w:keepLines w:val="0"/>
        <w:keepNext w:val="0"/>
        <w:pageBreakBefore w:val="0"/>
        <w:spacing w:line="480" w:lineRule="exact"/>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2、供应商负责培训该设备的操作人员，须为用户操作人员现场进行使用及维护培训,直到用户人员能独立上岗；往返旅费、食宿费、工作餐等等包括在总价中，培训内容包括：</w:t>
      </w:r>
      <w:r/>
    </w:p>
    <w:p>
      <w:pPr>
        <w:ind w:firstLine="420"/>
        <w:keepLines w:val="0"/>
        <w:keepNext w:val="0"/>
        <w:pageBreakBefore w:val="0"/>
        <w:spacing w:line="480" w:lineRule="exact"/>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2.1设备的基本结构和工作原理；</w:t>
      </w:r>
      <w:r/>
    </w:p>
    <w:p>
      <w:pPr>
        <w:ind w:firstLine="420"/>
        <w:keepLines w:val="0"/>
        <w:keepNext w:val="0"/>
        <w:pageBreakBefore w:val="0"/>
        <w:spacing w:line="480" w:lineRule="exact"/>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2.2设备的使用和操作；</w:t>
      </w:r>
      <w:r/>
    </w:p>
    <w:p>
      <w:pPr>
        <w:ind w:firstLine="420"/>
        <w:keepLines w:val="0"/>
        <w:keepNext w:val="0"/>
        <w:pageBreakBefore w:val="0"/>
        <w:spacing w:line="480" w:lineRule="exact"/>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2.3设备的机械保养、维修；</w:t>
      </w:r>
      <w:r/>
    </w:p>
    <w:p>
      <w:pPr>
        <w:ind w:firstLine="420"/>
        <w:keepLines w:val="0"/>
        <w:keepNext w:val="0"/>
        <w:pageBreakBefore w:val="0"/>
        <w:spacing w:line="480" w:lineRule="exact"/>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2.4安全生产注意事项；</w:t>
      </w:r>
      <w:r/>
    </w:p>
    <w:p>
      <w:pPr>
        <w:ind w:firstLine="420"/>
        <w:keepLines w:val="0"/>
        <w:keepNext w:val="0"/>
        <w:pageBreakBefore w:val="0"/>
        <w:spacing w:line="480" w:lineRule="exact"/>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2.5交货时须含相关随机附件；</w:t>
      </w:r>
      <w:r/>
    </w:p>
    <w:p>
      <w:pPr>
        <w:ind w:firstLine="420"/>
        <w:keepLines w:val="0"/>
        <w:keepNext w:val="0"/>
        <w:pageBreakBefore w:val="0"/>
        <w:spacing w:line="480" w:lineRule="exact"/>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3、在质保期内，凡属产品质量的问题，严格履行免费修理、包换备件。</w:t>
      </w:r>
      <w:r/>
    </w:p>
    <w:p>
      <w:pPr>
        <w:ind w:firstLine="420"/>
        <w:keepLines w:val="0"/>
        <w:keepNext w:val="0"/>
        <w:pageBreakBefore w:val="0"/>
        <w:spacing w:line="480" w:lineRule="exact"/>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4、质保期内售后服务由供应商免费负责，在质保期内出现质量问题（供应商自接到服务通知（包括电话、传真或电子邮件始），中标供应商须在2小时内响应，6小时内赶到现场提供免费服务,并在3天内完成修复或更换，无法修复或经过两次修复仍出现质量问题，予以换货；造成采购人的损失，由中标供应商负责；如中标供应商在接到通知后8小时内没有答复或处理问题，则视为中标供应商承认质量问题并承担由此而发生的一切费用。采购人将以书面形式或口头通知中标供应商，并向中标供应商提出索赔。</w:t>
      </w:r>
      <w:r/>
    </w:p>
    <w:p>
      <w:pPr>
        <w:ind w:firstLine="420"/>
        <w:keepLines w:val="0"/>
        <w:keepNext w:val="0"/>
        <w:pageBreakBefore w:val="0"/>
        <w:spacing w:line="480" w:lineRule="exact"/>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5、在设备寿命期内，供应商应提供技术支持、维修支持并以优惠价格提供备件，提供成本价上门售后服务。</w:t>
      </w:r>
      <w:r/>
    </w:p>
    <w:p>
      <w:pPr>
        <w:ind w:firstLine="420"/>
        <w:keepLines w:val="0"/>
        <w:keepNext w:val="0"/>
        <w:pageBreakBefore w:val="0"/>
        <w:spacing w:line="480" w:lineRule="exact"/>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6、在质量保证期内，由于供应商的原因，诸如设计、工艺、制造质量及使用材料等以及</w:t>
      </w:r>
      <w:r>
        <w:rPr>
          <w:rFonts w:hint="eastAsia" w:ascii="宋体" w:hAnsi="宋体" w:eastAsia="宋体" w:cs="宋体"/>
          <w:color w:val="000000"/>
          <w:highlight w:val="none"/>
          <w:lang w:eastAsia="zh-CN"/>
        </w:rPr>
        <w:t xml:space="preserve">其他属于</w:t>
      </w:r>
      <w:r>
        <w:rPr>
          <w:rFonts w:hint="eastAsia" w:ascii="宋体" w:hAnsi="宋体" w:eastAsia="宋体" w:cs="宋体"/>
          <w:color w:val="000000"/>
          <w:highlight w:val="none"/>
        </w:rPr>
        <w:t xml:space="preserve">供应商应该负责的原因而导致零部件的损坏，供应商负责无偿更换，更换后的部件重新计算质保期。</w:t>
      </w:r>
      <w:r/>
    </w:p>
    <w:p>
      <w:pPr>
        <w:ind w:firstLine="420"/>
        <w:keepLines w:val="0"/>
        <w:keepNext w:val="0"/>
        <w:pageBreakBefore w:val="0"/>
        <w:spacing w:line="480" w:lineRule="exact"/>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7、供应商应具备完善的售后服务体系，须在中国境内设有生产厂家固定维修机构，并</w:t>
      </w:r>
      <w:r>
        <w:rPr>
          <w:rFonts w:hint="eastAsia" w:ascii="宋体" w:hAnsi="宋体" w:eastAsia="宋体" w:cs="宋体"/>
          <w:color w:val="000000"/>
          <w:highlight w:val="none"/>
          <w:lang w:eastAsia="zh-CN"/>
        </w:rPr>
        <w:t xml:space="preserve">配备</w:t>
      </w:r>
      <w:r>
        <w:rPr>
          <w:rFonts w:hint="eastAsia" w:ascii="宋体" w:hAnsi="宋体" w:eastAsia="宋体" w:cs="宋体"/>
          <w:color w:val="000000"/>
          <w:highlight w:val="none"/>
        </w:rPr>
        <w:t xml:space="preserve">固定的维修人员并有能力及时处理所有可能发生的故障，保证提供及时优质的售后服务。供应商在质量保证期内应当为采购人提供技术支持和服务。</w:t>
      </w:r>
      <w:r/>
    </w:p>
    <w:p>
      <w:pPr>
        <w:ind w:firstLine="420"/>
        <w:keepLines w:val="0"/>
        <w:keepNext w:val="0"/>
        <w:pageBreakBefore w:val="0"/>
        <w:spacing w:line="480" w:lineRule="exact"/>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8、中标供应商须提供全面使用、维护培训并提供培训方案。</w:t>
      </w:r>
      <w:r/>
    </w:p>
    <w:p>
      <w:pPr>
        <w:ind w:firstLine="422"/>
        <w:keepLines w:val="0"/>
        <w:keepNext w:val="0"/>
        <w:pageBreakBefore w:val="0"/>
        <w:spacing w:line="480" w:lineRule="exact"/>
        <w:widowControl/>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highlight w:val="none"/>
        </w:rPr>
        <w:t xml:space="preserve">9、质保期过后服务要求</w:t>
      </w:r>
      <w:r/>
    </w:p>
    <w:p>
      <w:pPr>
        <w:ind w:firstLine="420"/>
        <w:keepLines w:val="0"/>
        <w:keepNext w:val="0"/>
        <w:pageBreakBefore w:val="0"/>
        <w:spacing w:line="480" w:lineRule="exact"/>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9.1质量保证期过后，供应商应同样提供免费电话咨询服务，并应承诺提供产品上门维护服务。</w:t>
      </w:r>
      <w:r/>
    </w:p>
    <w:p>
      <w:pPr>
        <w:ind w:firstLine="420"/>
        <w:keepLines w:val="0"/>
        <w:keepNext w:val="0"/>
        <w:pageBreakBefore w:val="0"/>
        <w:spacing w:line="480" w:lineRule="exact"/>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9.2质量保证期过后，采购人需要继续由原供应商提供售后服务的，该供应商应以优惠价格提供售后服务。保修期外的维护保养，供应商应承诺只收取成本费并提供终身免费技术支持服务。</w:t>
      </w:r>
      <w:r/>
    </w:p>
    <w:p>
      <w:pPr>
        <w:ind w:firstLine="420"/>
        <w:keepLines w:val="0"/>
        <w:keepNext w:val="0"/>
        <w:pageBreakBefore w:val="0"/>
        <w:spacing w:line="480" w:lineRule="exact"/>
        <w:widowControl/>
        <w:rPr>
          <w:rFonts w:hint="default" w:ascii="宋体" w:hAnsi="宋体" w:eastAsia="宋体" w:cs="宋体"/>
          <w:color w:val="000000"/>
          <w:highlight w:val="none"/>
          <w:lang w:val="en-US" w:eastAsia="zh-CN"/>
        </w:rPr>
        <w:pBdr>
          <w:top w:val="none" w:color="000000" w:sz="0" w:space="0"/>
          <w:left w:val="none" w:color="000000" w:sz="0" w:space="0"/>
          <w:bottom w:val="none" w:color="000000" w:sz="0" w:space="0"/>
          <w:right w:val="none" w:color="000000" w:sz="0" w:space="0"/>
        </w:pBdr>
      </w:pPr>
      <w:r/>
      <w:bookmarkStart w:id="9" w:name="_Hlk181726539"/>
      <w:r>
        <w:rPr>
          <w:rFonts w:hint="eastAsia" w:ascii="宋体" w:hAnsi="宋体" w:eastAsia="宋体" w:cs="宋体"/>
          <w:color w:val="000000"/>
          <w:highlight w:val="none"/>
        </w:rPr>
        <w:t xml:space="preserve">供应商应在投标响应文件中针对上述要求，提供</w:t>
      </w:r>
      <w:r>
        <w:rPr>
          <w:rFonts w:hint="eastAsia" w:ascii="宋体" w:hAnsi="宋体" w:eastAsia="宋体" w:cs="宋体"/>
          <w:color w:val="000000"/>
          <w:highlight w:val="none"/>
          <w:lang w:eastAsia="zh-CN"/>
        </w:rPr>
        <w:t xml:space="preserve">切实可行</w:t>
      </w:r>
      <w:r>
        <w:rPr>
          <w:rFonts w:hint="eastAsia" w:ascii="宋体" w:hAnsi="宋体" w:eastAsia="宋体" w:cs="宋体"/>
          <w:color w:val="000000"/>
          <w:highlight w:val="none"/>
        </w:rPr>
        <w:t xml:space="preserve">的方案。</w:t>
      </w:r>
      <w:r/>
    </w:p>
    <w:p>
      <w:pPr>
        <w:ind w:firstLine="422"/>
        <w:keepLines w:val="0"/>
        <w:keepNext w:val="0"/>
        <w:pageBreakBefore w:val="0"/>
        <w:spacing w:line="480" w:lineRule="exact"/>
        <w:widowControl/>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highlight w:val="none"/>
          <w:lang w:val="en-US" w:eastAsia="zh-CN"/>
        </w:rPr>
        <w:t xml:space="preserve">六</w:t>
      </w:r>
      <w:r>
        <w:rPr>
          <w:rFonts w:hint="eastAsia" w:ascii="宋体" w:hAnsi="宋体" w:eastAsia="宋体" w:cs="宋体"/>
          <w:b/>
          <w:bCs/>
          <w:color w:val="000000"/>
          <w:highlight w:val="none"/>
        </w:rPr>
        <w:t xml:space="preserve">、质量技术要求</w:t>
      </w:r>
      <w:r/>
    </w:p>
    <w:p>
      <w:pPr>
        <w:ind w:firstLine="420"/>
        <w:keepLines w:val="0"/>
        <w:keepNext w:val="0"/>
        <w:pageBreakBefore w:val="0"/>
        <w:spacing w:line="480" w:lineRule="exact"/>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bookmarkStart w:id="10" w:name="OLE_LINK22"/>
      <w:r>
        <w:rPr>
          <w:rFonts w:hint="eastAsia" w:ascii="宋体" w:hAnsi="宋体" w:eastAsia="宋体" w:cs="宋体"/>
          <w:color w:val="000000"/>
          <w:highlight w:val="none"/>
        </w:rPr>
        <w:t xml:space="preserve">所有报价货物的生产、制造、安装等，各项技术标准应当符合现行国家（强制性）标准和各项规范要求。若所供货物经产品质量检测机构检测认定质量不合格，造成的损失和后果由中标供应商负全责。</w:t>
      </w:r>
      <w:bookmarkEnd w:id="9"/>
      <w:r/>
      <w:bookmarkEnd w:id="10"/>
      <w:r/>
      <w:r/>
    </w:p>
    <w:p>
      <w:pPr>
        <w:ind w:firstLine="422"/>
        <w:keepLines w:val="0"/>
        <w:keepNext w:val="0"/>
        <w:pageBreakBefore w:val="0"/>
        <w:spacing w:line="480" w:lineRule="exact"/>
        <w:widowControl/>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pBdr>
      </w:pPr>
      <w:r/>
      <w:bookmarkStart w:id="11" w:name="_Hlk181726967"/>
      <w:r>
        <w:rPr>
          <w:rFonts w:hint="eastAsia" w:ascii="宋体" w:hAnsi="宋体" w:eastAsia="宋体" w:cs="宋体"/>
          <w:b/>
          <w:bCs/>
          <w:color w:val="000000"/>
          <w:highlight w:val="none"/>
          <w:lang w:val="en-US" w:eastAsia="zh-CN"/>
        </w:rPr>
        <w:t xml:space="preserve">七</w:t>
      </w:r>
      <w:r>
        <w:rPr>
          <w:rFonts w:hint="eastAsia" w:ascii="宋体" w:hAnsi="宋体" w:eastAsia="宋体" w:cs="宋体"/>
          <w:b/>
          <w:bCs/>
          <w:color w:val="000000"/>
          <w:highlight w:val="none"/>
        </w:rPr>
        <w:t xml:space="preserve">、商务要求</w:t>
      </w:r>
      <w:bookmarkEnd w:id="11"/>
      <w:r/>
      <w:r/>
    </w:p>
    <w:p>
      <w:pPr>
        <w:ind w:firstLine="420"/>
        <w:keepLines w:val="0"/>
        <w:keepNext w:val="0"/>
        <w:pageBreakBefore w:val="0"/>
        <w:spacing w:line="480" w:lineRule="exact"/>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rPr>
        <w:t xml:space="preserve">（一）报价要求</w:t>
      </w:r>
      <w:r/>
    </w:p>
    <w:p>
      <w:pPr>
        <w:ind w:firstLine="420"/>
        <w:keepLines w:val="0"/>
        <w:keepNext w:val="0"/>
        <w:pageBreakBefore w:val="0"/>
        <w:spacing w:line="480" w:lineRule="exact"/>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bookmarkStart w:id="12" w:name="_Hlk181727010"/>
      <w:r>
        <w:rPr>
          <w:rFonts w:hint="eastAsia" w:ascii="宋体" w:hAnsi="宋体" w:eastAsia="宋体" w:cs="宋体"/>
          <w:color w:val="000000"/>
          <w:highlight w:val="none"/>
        </w:rPr>
        <w:t xml:space="preserve">1、投标总报价一次报定，包括全部产品及其备品、备件和专用工具费用、仓储费、税费及包装、运至最终目的地的运输、保险、检测验收、卸载、安装、调试、维修、技术支持与培训、售后服务与维保及相关劳务支出等工作所发生的全部费用以及供应商企业利润、税金和政策性文件规定及合同包含的所有风险、责任等各项应有费用。</w:t>
      </w:r>
      <w:bookmarkEnd w:id="12"/>
      <w:r/>
      <w:r/>
    </w:p>
    <w:p>
      <w:pPr>
        <w:ind w:firstLine="420"/>
        <w:keepLines w:val="0"/>
        <w:keepNext w:val="0"/>
        <w:pageBreakBefore w:val="0"/>
        <w:spacing w:line="480" w:lineRule="exact"/>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2、供应商的任何错漏、优惠、竞争性报价不得作为减轻责任、减少服务、增加收费、降低质量的理由。</w:t>
      </w:r>
      <w:r/>
    </w:p>
    <w:p>
      <w:pPr>
        <w:ind w:firstLine="420"/>
        <w:keepLines w:val="0"/>
        <w:keepNext w:val="0"/>
        <w:pageBreakBefore w:val="0"/>
        <w:spacing w:line="480" w:lineRule="exact"/>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bookmarkStart w:id="13" w:name="_Hlk181865375"/>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rPr>
        <w:t xml:space="preserve">（二）交付时间：合同签订后</w:t>
      </w:r>
      <w:r>
        <w:rPr>
          <w:rFonts w:hint="eastAsia" w:ascii="宋体" w:hAnsi="宋体" w:eastAsia="宋体" w:cs="宋体"/>
          <w:color w:val="000000"/>
          <w:highlight w:val="none"/>
          <w:lang w:val="en-US" w:eastAsia="zh-CN"/>
        </w:rPr>
        <w:t xml:space="preserve">30</w:t>
      </w:r>
      <w:r>
        <w:rPr>
          <w:rFonts w:hint="eastAsia" w:ascii="宋体" w:hAnsi="宋体" w:eastAsia="宋体" w:cs="宋体"/>
          <w:color w:val="000000"/>
          <w:highlight w:val="none"/>
        </w:rPr>
        <w:t xml:space="preserve">个</w:t>
      </w:r>
      <w:r>
        <w:rPr>
          <w:rFonts w:hint="eastAsia" w:ascii="宋体" w:hAnsi="宋体" w:eastAsia="宋体" w:cs="宋体"/>
          <w:color w:val="000000"/>
          <w:highlight w:val="none"/>
          <w:lang w:eastAsia="zh-CN"/>
        </w:rPr>
        <w:t xml:space="preserve">日历天</w:t>
      </w:r>
      <w:r>
        <w:rPr>
          <w:rFonts w:hint="eastAsia" w:ascii="宋体" w:hAnsi="宋体" w:eastAsia="宋体" w:cs="宋体"/>
          <w:color w:val="000000"/>
          <w:highlight w:val="none"/>
        </w:rPr>
        <w:t xml:space="preserve">内完成交付。</w:t>
      </w:r>
      <w:r/>
    </w:p>
    <w:p>
      <w:pPr>
        <w:ind w:firstLine="420"/>
        <w:keepLines w:val="0"/>
        <w:keepNext w:val="0"/>
        <w:pageBreakBefore w:val="0"/>
        <w:spacing w:line="480" w:lineRule="exact"/>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rPr>
        <w:t xml:space="preserve">（三）交货地点:按采购人指定地点</w:t>
      </w:r>
      <w:r/>
    </w:p>
    <w:p>
      <w:pPr>
        <w:ind w:firstLine="420"/>
        <w:keepLines w:val="0"/>
        <w:keepNext w:val="0"/>
        <w:pageBreakBefore w:val="0"/>
        <w:spacing w:line="480" w:lineRule="exact"/>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（四）付款要求</w:t>
      </w:r>
      <w:bookmarkEnd w:id="13"/>
      <w:r/>
      <w:r/>
    </w:p>
    <w:p>
      <w:pPr>
        <w:ind w:firstLine="420"/>
        <w:keepLines w:val="0"/>
        <w:keepNext w:val="0"/>
        <w:pageBreakBefore w:val="0"/>
        <w:spacing w:line="480" w:lineRule="exact"/>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bookmarkStart w:id="14" w:name="_Hlk181782557"/>
      <w:r>
        <w:rPr>
          <w:rFonts w:hint="eastAsia" w:ascii="宋体" w:hAnsi="宋体" w:eastAsia="宋体" w:cs="宋体"/>
          <w:color w:val="000000"/>
          <w:highlight w:val="none"/>
        </w:rPr>
        <w:t xml:space="preserve">合同签订</w:t>
      </w:r>
      <w:r>
        <w:rPr>
          <w:rFonts w:hint="eastAsia" w:ascii="宋体" w:hAnsi="宋体" w:eastAsia="宋体" w:cs="宋体"/>
          <w:color w:val="000000"/>
          <w:highlight w:val="none"/>
          <w:lang w:eastAsia="zh-CN"/>
        </w:rPr>
        <w:t xml:space="preserve">后</w:t>
      </w:r>
      <w:r>
        <w:rPr>
          <w:rFonts w:hint="eastAsia" w:ascii="宋体" w:hAnsi="宋体" w:eastAsia="宋体" w:cs="宋体"/>
          <w:color w:val="000000"/>
          <w:highlight w:val="none"/>
          <w:lang w:val="en-US" w:eastAsia="zh-CN"/>
        </w:rPr>
        <w:t xml:space="preserve">30天内</w:t>
      </w:r>
      <w:r>
        <w:rPr>
          <w:rFonts w:hint="eastAsia" w:ascii="宋体" w:hAnsi="宋体" w:eastAsia="宋体" w:cs="宋体"/>
          <w:color w:val="000000"/>
          <w:highlight w:val="none"/>
        </w:rPr>
        <w:t xml:space="preserve">支付合同价款的</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0%的作为预付款，交货完毕并通过验收后</w:t>
      </w:r>
      <w:r>
        <w:rPr>
          <w:rFonts w:hint="eastAsia" w:ascii="宋体" w:hAnsi="宋体" w:eastAsia="宋体" w:cs="宋体"/>
          <w:color w:val="000000"/>
          <w:highlight w:val="none"/>
          <w:lang w:val="en-US" w:eastAsia="zh-CN"/>
        </w:rPr>
        <w:t xml:space="preserve">支付合同</w:t>
      </w:r>
      <w:r>
        <w:rPr>
          <w:rFonts w:hint="eastAsia" w:ascii="宋体" w:hAnsi="宋体" w:eastAsia="宋体" w:cs="宋体"/>
          <w:color w:val="000000"/>
          <w:highlight w:val="none"/>
        </w:rPr>
        <w:t xml:space="preserve">价款</w:t>
      </w:r>
      <w:r>
        <w:rPr>
          <w:rFonts w:hint="eastAsia" w:ascii="宋体" w:hAnsi="宋体" w:eastAsia="宋体" w:cs="宋体"/>
          <w:color w:val="000000"/>
          <w:highlight w:val="none"/>
          <w:lang w:eastAsia="zh-CN"/>
        </w:rPr>
        <w:t xml:space="preserve">的</w:t>
      </w:r>
      <w:r>
        <w:rPr>
          <w:rFonts w:hint="eastAsia" w:ascii="宋体" w:hAnsi="宋体" w:eastAsia="宋体" w:cs="宋体"/>
          <w:color w:val="000000"/>
          <w:highlight w:val="none"/>
          <w:lang w:val="en-US" w:eastAsia="zh-CN"/>
        </w:rPr>
        <w:t xml:space="preserve">95%</w:t>
      </w:r>
      <w:r>
        <w:rPr>
          <w:rFonts w:hint="eastAsia" w:ascii="宋体" w:hAnsi="宋体" w:eastAsia="宋体" w:cs="宋体"/>
          <w:color w:val="000000"/>
          <w:highlight w:val="none"/>
          <w:lang w:eastAsia="zh-CN"/>
        </w:rPr>
        <w:t xml:space="preserve">，余款</w:t>
      </w: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lang w:eastAsia="zh-CN"/>
        </w:rPr>
        <w:t xml:space="preserve">质保期满后付清</w:t>
      </w:r>
      <w:r>
        <w:rPr>
          <w:rFonts w:hint="eastAsia" w:ascii="宋体" w:hAnsi="宋体" w:eastAsia="宋体" w:cs="宋体"/>
          <w:color w:val="000000"/>
          <w:highlight w:val="none"/>
        </w:rPr>
        <w:t xml:space="preserve">。如供应商交付的产品验收不合格，供应商应在15个日历日内完成整改，若整改后验收仍不合格的，采购人有权解除合同，并要求中标供应商全额退还首付款，同时追究其违约的法律责任。</w:t>
      </w:r>
      <w:bookmarkEnd w:id="14"/>
      <w:r/>
      <w:r/>
    </w:p>
    <w:p>
      <w:pPr>
        <w:ind w:firstLine="420"/>
        <w:keepLines w:val="0"/>
        <w:keepNext w:val="0"/>
        <w:pageBreakBefore w:val="0"/>
        <w:spacing w:line="480" w:lineRule="exact"/>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bookmarkStart w:id="15" w:name="OLE_LINK34"/>
      <w:r/>
      <w:bookmarkStart w:id="16" w:name="OLE_LINK33"/>
      <w:r>
        <w:rPr>
          <w:rFonts w:hint="eastAsia" w:ascii="宋体" w:hAnsi="宋体" w:eastAsia="宋体" w:cs="宋体"/>
          <w:color w:val="000000"/>
          <w:highlight w:val="none"/>
        </w:rPr>
        <w:t xml:space="preserve">在签订合同时，供应商明确表示无需预付款或者主动要求降低预付款比例的，采购人可不适用上述规定。</w:t>
      </w:r>
      <w:bookmarkEnd w:id="15"/>
      <w:r/>
      <w:bookmarkEnd w:id="16"/>
      <w:r/>
      <w:r/>
    </w:p>
    <w:p>
      <w:pPr>
        <w:ind w:firstLine="422"/>
        <w:spacing w:line="400" w:lineRule="exac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rPr>
        <w:t xml:space="preserve">本项目加“★”为实质性要求，不允许偏离，偏离为无效投标。“▲”为重要指标。</w:t>
      </w:r>
      <w:r/>
    </w:p>
    <w:p>
      <w:pPr>
        <w:jc w:val="center"/>
        <w:spacing w:before="240" w:after="12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jc w:val="center"/>
        <w:spacing w:before="240" w:after="12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outlineLvl w:val="0"/>
      </w:pPr>
      <w:r/>
      <w:bookmarkStart w:id="17" w:name="_Toc20414"/>
      <w:r>
        <w:rPr>
          <w:rFonts w:hint="eastAsia" w:ascii="宋体" w:hAnsi="宋体" w:eastAsia="宋体" w:cs="宋体"/>
          <w:b/>
          <w:color w:val="000000"/>
          <w:sz w:val="28"/>
          <w:highlight w:val="none"/>
        </w:rPr>
        <w:t xml:space="preserve">第五章合同草案条款及格式</w:t>
      </w:r>
      <w:bookmarkEnd w:id="17"/>
      <w:r/>
      <w:r/>
    </w:p>
    <w:p>
      <w:pPr>
        <w:ind w:firstLine="640"/>
        <w:jc w:val="center"/>
        <w:spacing w:line="360" w:lineRule="auto"/>
        <w:rPr>
          <w:rFonts w:hint="eastAsia" w:ascii="宋体" w:hAnsi="宋体" w:eastAsia="宋体" w:cs="宋体"/>
          <w:sz w:val="32"/>
          <w:szCs w:val="32"/>
          <w:highlight w:val="none"/>
          <w:lang w:eastAsia="zh-CN"/>
        </w:rPr>
      </w:pPr>
      <w:r/>
      <w:bookmarkStart w:id="18" w:name="_Toc28829_WPSOffice_Level2"/>
      <w:r/>
      <w:bookmarkStart w:id="19" w:name="_Toc15895"/>
      <w:r>
        <w:rPr>
          <w:rFonts w:hint="eastAsia" w:ascii="宋体" w:hAnsi="宋体" w:eastAsia="宋体" w:cs="宋体"/>
          <w:sz w:val="32"/>
          <w:szCs w:val="32"/>
          <w:highlight w:val="none"/>
          <w:lang w:eastAsia="zh-CN"/>
        </w:rPr>
        <w:t xml:space="preserve">（仅供参考）</w:t>
      </w:r>
      <w:r/>
    </w:p>
    <w:p>
      <w:pPr>
        <w:ind w:firstLine="640"/>
        <w:jc w:val="center"/>
        <w:spacing w:line="360" w:lineRule="auto"/>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lang w:eastAsia="zh-CN"/>
        </w:rPr>
      </w:r>
      <w:r/>
    </w:p>
    <w:p>
      <w:pPr>
        <w:ind w:firstLine="640"/>
        <w:jc w:val="center"/>
        <w:spacing w:line="360" w:lineRule="auto"/>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lang w:eastAsia="zh-CN"/>
        </w:rPr>
      </w:r>
      <w:r/>
    </w:p>
    <w:p>
      <w:pPr>
        <w:ind w:firstLine="640"/>
        <w:jc w:val="center"/>
        <w:spacing w:line="360" w:lineRule="auto"/>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lang w:eastAsia="zh-CN"/>
        </w:rPr>
      </w:r>
      <w:r/>
    </w:p>
    <w:p>
      <w:pPr>
        <w:pStyle w:val="790"/>
        <w:rPr>
          <w:rFonts w:hint="eastAsia" w:ascii="宋体" w:hAnsi="宋体" w:eastAsia="宋体" w:cs="宋体"/>
          <w:highlight w:val="none"/>
          <w:lang w:eastAsia="zh-CN"/>
        </w:rPr>
      </w:pPr>
      <w:r>
        <w:rPr>
          <w:rFonts w:hint="eastAsia" w:ascii="宋体" w:hAnsi="宋体" w:eastAsia="宋体" w:cs="宋体"/>
          <w:highlight w:val="none"/>
          <w:lang w:eastAsia="zh-CN"/>
        </w:rPr>
      </w:r>
      <w:r/>
    </w:p>
    <w:p>
      <w:pPr>
        <w:ind w:firstLine="800"/>
        <w:jc w:val="center"/>
        <w:spacing w:line="360" w:lineRule="auto"/>
        <w:rPr>
          <w:rFonts w:hint="eastAsia" w:ascii="宋体" w:hAnsi="宋体" w:eastAsia="宋体" w:cs="宋体"/>
          <w:sz w:val="40"/>
          <w:szCs w:val="40"/>
          <w:highlight w:val="none"/>
          <w:lang w:eastAsia="zh-CN"/>
        </w:rPr>
      </w:pPr>
      <w:r>
        <w:rPr>
          <w:rFonts w:hint="eastAsia" w:ascii="宋体" w:hAnsi="宋体" w:eastAsia="宋体" w:cs="宋体"/>
          <w:sz w:val="40"/>
          <w:szCs w:val="40"/>
          <w:highlight w:val="none"/>
          <w:lang w:eastAsia="zh-CN"/>
        </w:rPr>
        <w:t xml:space="preserve">政府采购合同</w:t>
      </w:r>
      <w:bookmarkEnd w:id="18"/>
      <w:r/>
      <w:r/>
    </w:p>
    <w:p>
      <w:pPr>
        <w:ind w:firstLine="440"/>
        <w:spacing w:line="360" w:lineRule="auto"/>
        <w:rPr>
          <w:rFonts w:hint="eastAsia" w:ascii="宋体" w:hAnsi="宋体" w:eastAsia="宋体" w:cs="宋体"/>
          <w:highlight w:val="none"/>
          <w:lang w:eastAsia="zh-CN"/>
        </w:rPr>
      </w:pPr>
      <w:r>
        <w:rPr>
          <w:rFonts w:hint="eastAsia" w:ascii="宋体" w:hAnsi="宋体" w:eastAsia="宋体" w:cs="宋体"/>
          <w:b/>
          <w:highlight w:val="none"/>
          <w:lang w:eastAsia="zh-CN"/>
        </w:rPr>
        <w:t xml:space="preserve">            </w:t>
      </w:r>
      <w:r>
        <w:rPr>
          <w:rFonts w:hint="eastAsia" w:ascii="宋体" w:hAnsi="宋体" w:eastAsia="宋体" w:cs="宋体"/>
          <w:highlight w:val="none"/>
          <w:lang w:eastAsia="zh-CN"/>
        </w:rPr>
        <w:t xml:space="preserve">  </w:t>
      </w:r>
      <w:r/>
    </w:p>
    <w:p>
      <w:pPr>
        <w:pStyle w:val="790"/>
        <w:rPr>
          <w:rFonts w:hint="eastAsia" w:ascii="宋体" w:hAnsi="宋体" w:eastAsia="宋体" w:cs="宋体"/>
          <w:highlight w:val="none"/>
          <w:lang w:eastAsia="zh-CN"/>
        </w:rPr>
      </w:pPr>
      <w:r>
        <w:rPr>
          <w:rFonts w:hint="eastAsia" w:ascii="宋体" w:hAnsi="宋体" w:eastAsia="宋体" w:cs="宋体"/>
          <w:highlight w:val="none"/>
          <w:lang w:eastAsia="zh-CN"/>
        </w:rPr>
      </w:r>
      <w:r/>
    </w:p>
    <w:p>
      <w:pPr>
        <w:pStyle w:val="790"/>
        <w:rPr>
          <w:rFonts w:hint="eastAsia" w:ascii="宋体" w:hAnsi="宋体" w:eastAsia="宋体" w:cs="宋体"/>
          <w:highlight w:val="none"/>
          <w:lang w:eastAsia="zh-CN"/>
        </w:rPr>
      </w:pPr>
      <w:r>
        <w:rPr>
          <w:rFonts w:hint="eastAsia" w:ascii="宋体" w:hAnsi="宋体" w:eastAsia="宋体" w:cs="宋体"/>
          <w:highlight w:val="none"/>
          <w:lang w:eastAsia="zh-CN"/>
        </w:rPr>
      </w:r>
      <w:r/>
    </w:p>
    <w:p>
      <w:pPr>
        <w:ind w:firstLine="440"/>
        <w:spacing w:line="360" w:lineRule="auto"/>
        <w:rPr>
          <w:rFonts w:hint="eastAsia" w:ascii="宋体" w:hAnsi="宋体" w:eastAsia="宋体" w:cs="宋体"/>
          <w:b/>
          <w:highlight w:val="none"/>
          <w:lang w:eastAsia="zh-CN"/>
        </w:rPr>
      </w:pPr>
      <w:r>
        <w:rPr>
          <w:rFonts w:hint="eastAsia" w:ascii="宋体" w:hAnsi="宋体" w:eastAsia="宋体" w:cs="宋体"/>
          <w:b/>
          <w:highlight w:val="none"/>
          <w:lang w:eastAsia="zh-CN"/>
        </w:rPr>
      </w:r>
      <w:r/>
    </w:p>
    <w:p>
      <w:pPr>
        <w:ind w:firstLine="440"/>
        <w:spacing w:line="360" w:lineRule="auto"/>
        <w:rPr>
          <w:rFonts w:hint="eastAsia" w:ascii="宋体" w:hAnsi="宋体" w:eastAsia="宋体" w:cs="宋体"/>
          <w:b/>
          <w:highlight w:val="none"/>
          <w:lang w:eastAsia="zh-CN"/>
        </w:rPr>
      </w:pPr>
      <w:r>
        <w:rPr>
          <w:rFonts w:hint="eastAsia" w:ascii="宋体" w:hAnsi="宋体" w:eastAsia="宋体" w:cs="宋体"/>
          <w:b/>
          <w:highlight w:val="none"/>
          <w:lang w:eastAsia="zh-CN"/>
        </w:rPr>
      </w:r>
      <w:r/>
    </w:p>
    <w:p>
      <w:pPr>
        <w:ind w:firstLine="3034"/>
        <w:spacing w:line="360" w:lineRule="auto"/>
        <w:rPr>
          <w:rFonts w:hint="eastAsia" w:ascii="宋体" w:hAnsi="宋体" w:eastAsia="宋体" w:cs="宋体"/>
          <w:b/>
          <w:sz w:val="28"/>
          <w:szCs w:val="28"/>
          <w:highlight w:val="none"/>
          <w:lang w:eastAsia="zh-CN"/>
        </w:rPr>
      </w:pPr>
      <w:r>
        <w:rPr>
          <w:rFonts w:hint="eastAsia" w:ascii="宋体" w:hAnsi="宋体" w:eastAsia="宋体" w:cs="宋体"/>
          <w:b/>
          <w:sz w:val="28"/>
          <w:szCs w:val="28"/>
          <w:highlight w:val="none"/>
          <w:lang w:eastAsia="zh-CN"/>
        </w:rPr>
        <w:t xml:space="preserve">合同编号 ：</w:t>
      </w:r>
      <w:r>
        <w:rPr>
          <w:rFonts w:hint="eastAsia" w:ascii="宋体" w:hAnsi="宋体" w:eastAsia="宋体" w:cs="宋体"/>
          <w:b/>
          <w:sz w:val="28"/>
          <w:szCs w:val="28"/>
          <w:highlight w:val="none"/>
          <w:u w:val="single"/>
          <w:lang w:eastAsia="zh-CN"/>
        </w:rPr>
        <w:t xml:space="preserve">                    </w:t>
      </w:r>
      <w:r/>
    </w:p>
    <w:p>
      <w:pPr>
        <w:ind w:firstLine="3034"/>
        <w:spacing w:line="360" w:lineRule="auto"/>
        <w:rPr>
          <w:rFonts w:hint="eastAsia" w:ascii="宋体" w:hAnsi="宋体" w:eastAsia="宋体" w:cs="宋体"/>
          <w:b/>
          <w:sz w:val="28"/>
          <w:szCs w:val="28"/>
          <w:highlight w:val="none"/>
          <w:u w:val="single"/>
          <w:lang w:eastAsia="zh-CN"/>
        </w:rPr>
      </w:pPr>
      <w:r>
        <w:rPr>
          <w:rFonts w:hint="eastAsia" w:ascii="宋体" w:hAnsi="宋体" w:eastAsia="宋体" w:cs="宋体"/>
          <w:b/>
          <w:sz w:val="28"/>
          <w:szCs w:val="28"/>
          <w:highlight w:val="none"/>
          <w:lang w:eastAsia="zh-CN"/>
        </w:rPr>
        <w:t xml:space="preserve">项目名称 ：</w:t>
      </w:r>
      <w:r>
        <w:rPr>
          <w:rFonts w:hint="eastAsia" w:ascii="宋体" w:hAnsi="宋体" w:eastAsia="宋体" w:cs="宋体"/>
          <w:b/>
          <w:sz w:val="28"/>
          <w:szCs w:val="28"/>
          <w:highlight w:val="none"/>
          <w:u w:val="single"/>
          <w:lang w:eastAsia="zh-CN"/>
        </w:rPr>
        <w:t xml:space="preserve">                    </w:t>
      </w:r>
      <w:r/>
    </w:p>
    <w:p>
      <w:pPr>
        <w:ind w:firstLine="3034"/>
        <w:spacing w:line="360" w:lineRule="auto"/>
        <w:rPr>
          <w:rFonts w:hint="eastAsia" w:ascii="宋体" w:hAnsi="宋体" w:eastAsia="宋体" w:cs="宋体"/>
          <w:b/>
          <w:sz w:val="28"/>
          <w:szCs w:val="28"/>
          <w:highlight w:val="none"/>
          <w:u w:val="single"/>
          <w:lang w:eastAsia="zh-CN"/>
        </w:rPr>
      </w:pPr>
      <w:r>
        <w:rPr>
          <w:rFonts w:hint="eastAsia" w:ascii="宋体" w:hAnsi="宋体" w:eastAsia="宋体" w:cs="宋体"/>
          <w:b/>
          <w:sz w:val="28"/>
          <w:szCs w:val="28"/>
          <w:highlight w:val="none"/>
          <w:lang w:eastAsia="zh-CN"/>
        </w:rPr>
        <w:t xml:space="preserve">采购单位 ：</w:t>
      </w:r>
      <w:r>
        <w:rPr>
          <w:rFonts w:hint="eastAsia" w:ascii="宋体" w:hAnsi="宋体" w:eastAsia="宋体" w:cs="宋体"/>
          <w:b/>
          <w:sz w:val="28"/>
          <w:szCs w:val="28"/>
          <w:highlight w:val="none"/>
          <w:u w:val="single"/>
          <w:lang w:eastAsia="zh-CN"/>
        </w:rPr>
        <w:t xml:space="preserve">                    </w:t>
      </w:r>
      <w:r/>
    </w:p>
    <w:p>
      <w:pPr>
        <w:ind w:firstLine="3034"/>
        <w:spacing w:line="360" w:lineRule="auto"/>
        <w:rPr>
          <w:rFonts w:hint="eastAsia" w:ascii="宋体" w:hAnsi="宋体" w:eastAsia="宋体" w:cs="宋体"/>
          <w:b/>
          <w:sz w:val="28"/>
          <w:szCs w:val="28"/>
          <w:highlight w:val="none"/>
          <w:lang w:eastAsia="zh-CN"/>
        </w:rPr>
      </w:pPr>
      <w:r>
        <w:rPr>
          <w:rFonts w:hint="eastAsia" w:ascii="宋体" w:hAnsi="宋体" w:eastAsia="宋体" w:cs="宋体"/>
          <w:b/>
          <w:sz w:val="28"/>
          <w:szCs w:val="28"/>
          <w:highlight w:val="none"/>
          <w:lang w:eastAsia="zh-CN"/>
        </w:rPr>
        <w:t xml:space="preserve">供应商单位 ：</w:t>
      </w:r>
      <w:r>
        <w:rPr>
          <w:rFonts w:hint="eastAsia" w:ascii="宋体" w:hAnsi="宋体" w:eastAsia="宋体" w:cs="宋体"/>
          <w:b/>
          <w:sz w:val="28"/>
          <w:szCs w:val="28"/>
          <w:highlight w:val="none"/>
          <w:u w:val="single"/>
          <w:lang w:eastAsia="zh-CN"/>
        </w:rPr>
        <w:t xml:space="preserve">                  </w:t>
      </w:r>
      <w:r/>
    </w:p>
    <w:p>
      <w:pPr>
        <w:ind w:firstLine="3034"/>
        <w:spacing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签订日期 ：</w:t>
      </w:r>
      <w:r>
        <w:rPr>
          <w:rFonts w:hint="eastAsia" w:ascii="宋体" w:hAnsi="宋体" w:eastAsia="宋体" w:cs="宋体"/>
          <w:b/>
          <w:sz w:val="28"/>
          <w:szCs w:val="28"/>
          <w:highlight w:val="none"/>
          <w:u w:val="single"/>
        </w:rPr>
        <w:t xml:space="preserve">                    </w:t>
      </w:r>
      <w:r/>
    </w:p>
    <w:p>
      <w:pPr>
        <w:ind w:firstLine="462"/>
        <w:spacing w:line="360" w:lineRule="auto"/>
        <w:rPr>
          <w:rFonts w:hint="eastAsia" w:ascii="宋体" w:hAnsi="宋体" w:eastAsia="宋体" w:cs="宋体"/>
          <w:highlight w:val="none"/>
        </w:rPr>
      </w:pPr>
      <w:r>
        <w:rPr>
          <w:rFonts w:hint="eastAsia" w:ascii="宋体" w:hAnsi="宋体" w:eastAsia="宋体" w:cs="宋体"/>
          <w:highlight w:val="none"/>
        </w:rPr>
        <w:t xml:space="preserve">       </w:t>
      </w:r>
      <w:r/>
    </w:p>
    <w:p>
      <w:pPr>
        <w:pStyle w:val="790"/>
        <w:rPr>
          <w:rFonts w:hint="eastAsia" w:ascii="宋体" w:hAnsi="宋体" w:eastAsia="宋体" w:cs="宋体"/>
          <w:highlight w:val="none"/>
        </w:rPr>
      </w:pPr>
      <w:r>
        <w:rPr>
          <w:rFonts w:hint="eastAsia" w:ascii="宋体" w:hAnsi="宋体" w:eastAsia="宋体" w:cs="宋体"/>
          <w:highlight w:val="none"/>
        </w:rPr>
      </w:r>
      <w:r/>
    </w:p>
    <w:p>
      <w:pPr>
        <w:jc w:val="center"/>
        <w:rPr>
          <w:rFonts w:hint="eastAsia" w:ascii="宋体" w:hAnsi="宋体" w:eastAsia="宋体" w:cs="宋体"/>
          <w:b/>
          <w:sz w:val="36"/>
          <w:highlight w:val="none"/>
          <w:lang w:eastAsia="zh-CN"/>
        </w:rPr>
        <w:outlineLvl w:val="9"/>
      </w:pPr>
      <w:r>
        <w:rPr>
          <w:rFonts w:hint="eastAsia" w:ascii="宋体" w:hAnsi="宋体" w:eastAsia="宋体" w:cs="宋体"/>
          <w:b/>
          <w:sz w:val="36"/>
          <w:highlight w:val="none"/>
          <w:lang w:eastAsia="zh-CN"/>
        </w:rPr>
        <w:t xml:space="preserve">南京市工商行政管理局</w:t>
      </w:r>
      <w:r/>
    </w:p>
    <w:p>
      <w:pPr>
        <w:jc w:val="center"/>
        <w:rPr>
          <w:rFonts w:hint="eastAsia" w:ascii="宋体" w:hAnsi="宋体" w:eastAsia="宋体" w:cs="宋体"/>
          <w:b/>
          <w:sz w:val="36"/>
          <w:highlight w:val="none"/>
          <w:lang w:eastAsia="zh-CN"/>
        </w:rPr>
        <w:outlineLvl w:val="9"/>
      </w:pPr>
      <w:r>
        <w:rPr>
          <w:rFonts w:hint="eastAsia" w:ascii="宋体" w:hAnsi="宋体" w:eastAsia="宋体" w:cs="宋体"/>
          <w:b/>
          <w:sz w:val="36"/>
          <w:highlight w:val="none"/>
          <w:lang w:eastAsia="zh-CN"/>
        </w:rPr>
      </w:r>
      <w:r/>
    </w:p>
    <w:p>
      <w:pPr>
        <w:jc w:val="center"/>
        <w:rPr>
          <w:rFonts w:hint="eastAsia" w:ascii="宋体" w:hAnsi="宋体" w:eastAsia="宋体" w:cs="宋体"/>
          <w:b/>
          <w:sz w:val="36"/>
          <w:highlight w:val="none"/>
          <w:lang w:eastAsia="zh-CN"/>
        </w:rPr>
        <w:outlineLvl w:val="9"/>
      </w:pPr>
      <w:r>
        <w:rPr>
          <w:rFonts w:hint="eastAsia" w:ascii="宋体" w:hAnsi="宋体" w:eastAsia="宋体" w:cs="宋体"/>
          <w:b/>
          <w:sz w:val="36"/>
          <w:highlight w:val="none"/>
          <w:lang w:eastAsia="zh-CN"/>
        </w:rPr>
        <w:t xml:space="preserve">南京市财政局监制</w:t>
      </w:r>
      <w:r/>
    </w:p>
    <w:p>
      <w:pPr>
        <w:pStyle w:val="790"/>
        <w:rPr>
          <w:rFonts w:hint="eastAsia" w:ascii="宋体" w:hAnsi="宋体" w:eastAsia="宋体" w:cs="宋体"/>
          <w:highlight w:val="none"/>
        </w:rPr>
      </w:pPr>
      <w:r>
        <w:rPr>
          <w:rFonts w:hint="eastAsia" w:ascii="宋体" w:hAnsi="宋体" w:eastAsia="宋体" w:cs="宋体"/>
          <w:highlight w:val="none"/>
        </w:rPr>
      </w:r>
      <w:r/>
    </w:p>
    <w:p>
      <w:pPr>
        <w:pStyle w:val="790"/>
        <w:rPr>
          <w:rFonts w:hint="eastAsia" w:ascii="宋体" w:hAnsi="宋体" w:eastAsia="宋体" w:cs="宋体"/>
          <w:highlight w:val="none"/>
        </w:rPr>
      </w:pPr>
      <w:r>
        <w:rPr>
          <w:rFonts w:hint="eastAsia" w:ascii="宋体" w:hAnsi="宋体" w:eastAsia="宋体" w:cs="宋体"/>
          <w:highlight w:val="none"/>
        </w:rPr>
      </w:r>
      <w:r/>
    </w:p>
    <w:p>
      <w:pPr>
        <w:pStyle w:val="790"/>
        <w:rPr>
          <w:rFonts w:hint="eastAsia" w:ascii="宋体" w:hAnsi="宋体" w:eastAsia="宋体" w:cs="宋体"/>
          <w:highlight w:val="none"/>
        </w:rPr>
      </w:pPr>
      <w:r>
        <w:rPr>
          <w:rFonts w:hint="eastAsia" w:ascii="宋体" w:hAnsi="宋体" w:eastAsia="宋体" w:cs="宋体"/>
          <w:highlight w:val="none"/>
        </w:rPr>
      </w:r>
      <w:r/>
    </w:p>
    <w:p>
      <w:pPr>
        <w:pStyle w:val="790"/>
        <w:rPr>
          <w:rFonts w:hint="eastAsia" w:ascii="宋体" w:hAnsi="宋体" w:eastAsia="宋体" w:cs="宋体"/>
          <w:highlight w:val="none"/>
        </w:rPr>
        <w:outlineLvl w:val="9"/>
      </w:pPr>
      <w:r>
        <w:rPr>
          <w:rFonts w:hint="eastAsia" w:ascii="宋体" w:hAnsi="宋体" w:eastAsia="宋体" w:cs="宋体"/>
          <w:highlight w:val="none"/>
        </w:rPr>
      </w:r>
      <w:r/>
    </w:p>
    <w:p>
      <w:pPr>
        <w:pStyle w:val="790"/>
        <w:rPr>
          <w:rFonts w:hint="eastAsia" w:ascii="宋体" w:hAnsi="宋体" w:eastAsia="宋体" w:cs="宋体"/>
          <w:highlight w:val="none"/>
        </w:rPr>
        <w:outlineLvl w:val="9"/>
      </w:pPr>
      <w:r>
        <w:rPr>
          <w:rFonts w:hint="eastAsia" w:ascii="宋体" w:hAnsi="宋体" w:eastAsia="宋体" w:cs="宋体"/>
          <w:highlight w:val="none"/>
        </w:rPr>
      </w:r>
      <w:r/>
    </w:p>
    <w:p>
      <w:pPr>
        <w:pStyle w:val="790"/>
        <w:rPr>
          <w:rFonts w:hint="eastAsia" w:ascii="宋体" w:hAnsi="宋体" w:eastAsia="宋体" w:cs="宋体"/>
          <w:highlight w:val="none"/>
        </w:rPr>
        <w:outlineLvl w:val="9"/>
      </w:pPr>
      <w:r>
        <w:rPr>
          <w:rFonts w:hint="eastAsia" w:ascii="宋体" w:hAnsi="宋体" w:eastAsia="宋体" w:cs="宋体"/>
          <w:highlight w:val="none"/>
        </w:rPr>
      </w:r>
      <w:r/>
    </w:p>
    <w:p>
      <w:pPr>
        <w:pStyle w:val="755"/>
        <w:rPr>
          <w:rFonts w:hint="eastAsia" w:eastAsia="宋体"/>
          <w:lang w:eastAsia="zh-CN"/>
        </w:rPr>
      </w:pPr>
      <w:r>
        <w:rPr>
          <w:rFonts w:hint="eastAsia" w:eastAsia="宋体"/>
          <w:lang w:eastAsia="zh-CN"/>
        </w:rPr>
      </w:r>
      <w:r/>
    </w:p>
    <w:p>
      <w:pPr>
        <w:pStyle w:val="755"/>
        <w:rPr>
          <w:rFonts w:hint="eastAsia" w:eastAsia="宋体"/>
          <w:lang w:eastAsia="zh-CN"/>
        </w:rPr>
      </w:pPr>
      <w:r>
        <w:rPr>
          <w:rFonts w:hint="eastAsia" w:eastAsia="宋体"/>
          <w:lang w:eastAsia="zh-CN"/>
        </w:rPr>
      </w:r>
      <w:r/>
    </w:p>
    <w:p>
      <w:pPr>
        <w:pStyle w:val="755"/>
        <w:rPr>
          <w:rFonts w:hint="eastAsia" w:eastAsia="宋体"/>
          <w:lang w:eastAsia="zh-CN"/>
        </w:rPr>
      </w:pPr>
      <w:r>
        <w:rPr>
          <w:rFonts w:hint="eastAsia" w:eastAsia="宋体"/>
          <w:lang w:eastAsia="zh-CN"/>
        </w:rPr>
      </w:r>
      <w:r/>
    </w:p>
    <w:p>
      <w:pPr>
        <w:pStyle w:val="755"/>
        <w:rPr>
          <w:rFonts w:hint="eastAsia" w:eastAsia="宋体"/>
          <w:lang w:eastAsia="zh-CN"/>
        </w:rPr>
      </w:pPr>
      <w:r>
        <w:rPr>
          <w:rFonts w:hint="eastAsia" w:eastAsia="宋体"/>
          <w:lang w:eastAsia="zh-CN"/>
        </w:rPr>
      </w:r>
      <w:r/>
    </w:p>
    <w:p>
      <w:pPr>
        <w:pStyle w:val="755"/>
        <w:rPr>
          <w:rFonts w:hint="eastAsia" w:eastAsia="宋体"/>
          <w:lang w:eastAsia="zh-CN"/>
        </w:rPr>
      </w:pPr>
      <w:r>
        <w:rPr>
          <w:rFonts w:hint="eastAsia" w:eastAsia="宋体"/>
          <w:lang w:eastAsia="zh-CN"/>
        </w:rPr>
      </w:r>
      <w:r/>
    </w:p>
    <w:p>
      <w:pPr>
        <w:pStyle w:val="755"/>
        <w:rPr>
          <w:rFonts w:hint="eastAsia" w:eastAsia="宋体"/>
          <w:lang w:eastAsia="zh-CN"/>
        </w:rPr>
      </w:pPr>
      <w:r>
        <w:rPr>
          <w:rFonts w:hint="eastAsia" w:eastAsia="宋体"/>
          <w:lang w:eastAsia="zh-CN"/>
        </w:rPr>
      </w:r>
      <w:r/>
    </w:p>
    <w:p>
      <w:pPr>
        <w:pStyle w:val="790"/>
        <w:rPr>
          <w:rFonts w:hint="eastAsia" w:ascii="宋体" w:hAnsi="宋体" w:eastAsia="宋体" w:cs="宋体"/>
          <w:highlight w:val="none"/>
        </w:rPr>
        <w:outlineLvl w:val="9"/>
      </w:pPr>
      <w:r>
        <w:rPr>
          <w:rFonts w:hint="eastAsia" w:ascii="宋体" w:hAnsi="宋体" w:eastAsia="宋体" w:cs="宋体"/>
          <w:highlight w:val="none"/>
        </w:rPr>
      </w:r>
      <w:r/>
    </w:p>
    <w:p>
      <w:pPr>
        <w:rPr>
          <w:rFonts w:hint="eastAsia" w:ascii="宋体" w:hAnsi="宋体" w:eastAsia="宋体" w:cs="宋体"/>
          <w:sz w:val="36"/>
          <w:szCs w:val="36"/>
          <w:highlight w:val="none"/>
          <w:lang w:val="zh-CN"/>
        </w:rPr>
      </w:pPr>
      <w:r>
        <w:rPr>
          <w:rFonts w:hint="eastAsia" w:ascii="宋体" w:hAnsi="宋体" w:eastAsia="宋体" w:cs="宋体"/>
          <w:sz w:val="36"/>
          <w:szCs w:val="36"/>
          <w:highlight w:val="none"/>
          <w:lang w:val="zh-CN"/>
        </w:rPr>
        <w:br w:type="page" w:clear="all"/>
      </w:r>
      <w:r/>
    </w:p>
    <w:p>
      <w:pPr>
        <w:pStyle w:val="928"/>
        <w:jc w:val="left"/>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项目编号： </w:t>
      </w:r>
      <w:r/>
    </w:p>
    <w:p>
      <w:pPr>
        <w:jc w:val="left"/>
        <w:spacing w:line="360" w:lineRule="auto"/>
        <w:rPr>
          <w:rFonts w:ascii="宋体" w:hAnsi="宋体" w:cs="宋体"/>
          <w:szCs w:val="21"/>
        </w:rPr>
      </w:pPr>
      <w:r>
        <w:rPr>
          <w:rFonts w:hint="eastAsia" w:ascii="宋体" w:hAnsi="宋体" w:cs="宋体"/>
          <w:szCs w:val="21"/>
        </w:rPr>
        <w:t xml:space="preserve">项目名称： </w:t>
      </w:r>
      <w:r/>
    </w:p>
    <w:p>
      <w:pPr>
        <w:jc w:val="left"/>
        <w:spacing w:line="360" w:lineRule="auto"/>
        <w:rPr>
          <w:rFonts w:ascii="宋体" w:hAnsi="宋体" w:cs="宋体"/>
          <w:szCs w:val="21"/>
        </w:rPr>
      </w:pPr>
      <w:r>
        <w:rPr>
          <w:rFonts w:hint="eastAsia" w:ascii="宋体" w:hAnsi="宋体" w:cs="宋体"/>
          <w:szCs w:val="21"/>
        </w:rPr>
        <w:t xml:space="preserve">招标人：（以下简称甲方）                投标人：（以下简称乙方）  </w:t>
      </w:r>
      <w:r/>
    </w:p>
    <w:p>
      <w:pPr>
        <w:jc w:val="left"/>
        <w:spacing w:line="360" w:lineRule="auto"/>
        <w:rPr>
          <w:rFonts w:ascii="宋体" w:hAnsi="宋体" w:cs="宋体"/>
          <w:szCs w:val="21"/>
        </w:rPr>
      </w:pPr>
      <w:r>
        <w:rPr>
          <w:rFonts w:hint="eastAsia" w:ascii="宋体" w:hAnsi="宋体" w:cs="宋体"/>
          <w:szCs w:val="21"/>
        </w:rPr>
        <w:t xml:space="preserve">住所地：                               住所地： </w:t>
      </w:r>
      <w:r/>
    </w:p>
    <w:p>
      <w:pPr>
        <w:jc w:val="left"/>
        <w:spacing w:line="360" w:lineRule="auto"/>
        <w:rPr>
          <w:rFonts w:ascii="宋体" w:hAnsi="宋体" w:cs="宋体"/>
          <w:szCs w:val="21"/>
        </w:rPr>
      </w:pPr>
      <w:r>
        <w:rPr>
          <w:rFonts w:hint="eastAsia" w:ascii="宋体" w:hAnsi="宋体" w:cs="宋体"/>
          <w:szCs w:val="21"/>
        </w:rPr>
        <w:t xml:space="preserve">根据《中华人民共和国政府采购法》、《中华人民共和国民法典》等法律法规的规定，甲乙双方经协商签订本合同。 </w:t>
      </w:r>
      <w:r/>
    </w:p>
    <w:p>
      <w:pPr>
        <w:numPr>
          <w:ilvl w:val="0"/>
          <w:numId w:val="2"/>
        </w:numPr>
        <w:jc w:val="left"/>
        <w:spacing w:line="360" w:lineRule="auto"/>
        <w:rPr>
          <w:rFonts w:ascii="宋体" w:hAnsi="宋体" w:cs="宋体"/>
          <w:b/>
          <w:bCs/>
          <w:szCs w:val="21"/>
        </w:rPr>
      </w:pPr>
      <w:r>
        <w:rPr>
          <w:rFonts w:hint="eastAsia" w:ascii="宋体" w:hAnsi="宋体" w:cs="宋体"/>
          <w:b/>
          <w:bCs/>
          <w:szCs w:val="21"/>
        </w:rPr>
        <w:t xml:space="preserve"> 合同标的 </w:t>
      </w:r>
      <w:r/>
    </w:p>
    <w:p>
      <w:pPr>
        <w:jc w:val="left"/>
        <w:spacing w:line="360" w:lineRule="auto"/>
        <w:rPr>
          <w:rFonts w:ascii="宋体" w:hAnsi="宋体" w:cs="宋体"/>
          <w:szCs w:val="21"/>
        </w:rPr>
      </w:pPr>
      <w:r>
        <w:rPr>
          <w:rFonts w:hint="eastAsia" w:ascii="宋体" w:hAnsi="宋体" w:cs="宋体"/>
          <w:szCs w:val="21"/>
        </w:rPr>
        <w:t xml:space="preserve">乙方根据甲方需求提供下列货物： </w:t>
      </w:r>
      <w:r/>
    </w:p>
    <w:tbl>
      <w:tblPr>
        <w:tblStyle w:val="687"/>
        <w:tblW w:w="92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429"/>
        <w:gridCol w:w="1215"/>
        <w:gridCol w:w="1215"/>
        <w:gridCol w:w="1215"/>
        <w:gridCol w:w="1215"/>
        <w:gridCol w:w="1215"/>
      </w:tblGrid>
      <w:tr>
        <w:trPr>
          <w:jc w:val="center"/>
          <w:trHeight w:val="679"/>
        </w:trPr>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pStyle w:val="928"/>
              <w:jc w:val="center"/>
              <w:rPr>
                <w:rFonts w:ascii="Times New Roman" w:hAnsi="Times New Roman" w:eastAsia="宋体" w:cs="Times New Roman"/>
                <w:sz w:val="21"/>
                <w:szCs w:val="24"/>
                <w:lang w:val="en-US"/>
              </w:rPr>
            </w:pPr>
            <w:r>
              <w:rPr>
                <w:rFonts w:hint="eastAsia" w:ascii="Times New Roman" w:hAnsi="Times New Roman" w:eastAsia="宋体" w:cs="Times New Roman"/>
                <w:sz w:val="21"/>
                <w:szCs w:val="24"/>
                <w:lang w:val="en-US"/>
              </w:rPr>
              <w:t xml:space="preserve">序号</w:t>
            </w:r>
            <w:r/>
          </w:p>
        </w:tc>
        <w:tc>
          <w:tcPr>
            <w:tcBorders>
              <w:top w:val="single" w:color="auto" w:sz="4" w:space="0"/>
              <w:left w:val="single" w:color="auto" w:sz="4" w:space="0"/>
              <w:right w:val="single" w:color="auto" w:sz="4" w:space="0"/>
            </w:tcBorders>
            <w:tcW w:w="2429" w:type="dxa"/>
            <w:vAlign w:val="center"/>
            <w:textDirection w:val="lrTb"/>
            <w:noWrap w:val="false"/>
          </w:tcPr>
          <w:p>
            <w:pPr>
              <w:pStyle w:val="928"/>
              <w:jc w:val="center"/>
              <w:rPr>
                <w:rFonts w:ascii="Times New Roman" w:hAnsi="Times New Roman" w:eastAsia="宋体" w:cs="Times New Roman"/>
                <w:sz w:val="21"/>
                <w:szCs w:val="24"/>
                <w:lang w:val="en-US"/>
              </w:rPr>
            </w:pPr>
            <w:r>
              <w:rPr>
                <w:rFonts w:hint="eastAsia" w:ascii="Times New Roman" w:hAnsi="Times New Roman" w:eastAsia="宋体" w:cs="Times New Roman"/>
                <w:sz w:val="21"/>
                <w:szCs w:val="24"/>
                <w:lang w:val="en-US"/>
              </w:rPr>
              <w:t xml:space="preserve">名称</w:t>
            </w:r>
            <w:r/>
          </w:p>
        </w:tc>
        <w:tc>
          <w:tcPr>
            <w:tcBorders>
              <w:top w:val="single" w:color="auto" w:sz="4" w:space="0"/>
              <w:left w:val="single" w:color="auto" w:sz="4" w:space="0"/>
              <w:right w:val="single" w:color="auto" w:sz="4" w:space="0"/>
            </w:tcBorders>
            <w:tcW w:w="1215" w:type="dxa"/>
            <w:vAlign w:val="center"/>
            <w:textDirection w:val="lrTb"/>
            <w:noWrap w:val="false"/>
          </w:tcPr>
          <w:p>
            <w:pPr>
              <w:pStyle w:val="928"/>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t xml:space="preserve">数量</w:t>
            </w:r>
            <w:r/>
          </w:p>
        </w:tc>
        <w:tc>
          <w:tcPr>
            <w:tcBorders>
              <w:top w:val="single" w:color="auto" w:sz="4" w:space="0"/>
              <w:left w:val="single" w:color="auto" w:sz="4" w:space="0"/>
              <w:right w:val="single" w:color="auto" w:sz="4" w:space="0"/>
            </w:tcBorders>
            <w:tcW w:w="1215" w:type="dxa"/>
            <w:vAlign w:val="center"/>
            <w:textDirection w:val="lrTb"/>
            <w:noWrap w:val="false"/>
          </w:tcPr>
          <w:p>
            <w:pPr>
              <w:pStyle w:val="928"/>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t xml:space="preserve">单位</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pStyle w:val="928"/>
              <w:jc w:val="center"/>
              <w:rPr>
                <w:rFonts w:ascii="Times New Roman" w:hAnsi="Times New Roman" w:eastAsia="宋体" w:cs="Times New Roman"/>
                <w:sz w:val="21"/>
                <w:szCs w:val="24"/>
                <w:lang w:val="en-US"/>
              </w:rPr>
            </w:pPr>
            <w:r>
              <w:rPr>
                <w:rFonts w:hint="eastAsia" w:ascii="Times New Roman" w:hAnsi="Times New Roman" w:eastAsia="宋体" w:cs="Times New Roman"/>
                <w:sz w:val="21"/>
                <w:szCs w:val="24"/>
                <w:lang w:val="en-US"/>
              </w:rPr>
              <w:t xml:space="preserve">单价（元）</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pStyle w:val="928"/>
              <w:jc w:val="center"/>
              <w:rPr>
                <w:rFonts w:ascii="Times New Roman" w:hAnsi="Times New Roman" w:eastAsia="宋体" w:cs="Times New Roman"/>
                <w:sz w:val="21"/>
                <w:szCs w:val="24"/>
                <w:lang w:val="en-US"/>
              </w:rPr>
            </w:pPr>
            <w:r>
              <w:rPr>
                <w:rFonts w:hint="eastAsia" w:ascii="Times New Roman" w:hAnsi="Times New Roman" w:eastAsia="宋体" w:cs="Times New Roman"/>
                <w:sz w:val="21"/>
                <w:szCs w:val="24"/>
                <w:lang w:val="en-US"/>
              </w:rPr>
              <w:t xml:space="preserve">总价（元）</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pStyle w:val="928"/>
              <w:jc w:val="center"/>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t xml:space="preserve">备注</w:t>
            </w:r>
            <w:r/>
          </w:p>
        </w:tc>
      </w:tr>
      <w:tr>
        <w:trPr>
          <w:jc w:val="center"/>
          <w:trHeight w:val="219"/>
        </w:trPr>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pStyle w:val="928"/>
              <w:jc w:val="left"/>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c>
          <w:tcPr>
            <w:tcBorders>
              <w:left w:val="single" w:color="auto" w:sz="4" w:space="0"/>
              <w:right w:val="single" w:color="auto" w:sz="4" w:space="0"/>
            </w:tcBorders>
            <w:tcW w:w="2429" w:type="dxa"/>
            <w:vAlign w:val="center"/>
            <w:textDirection w:val="lrTb"/>
            <w:noWrap w:val="false"/>
          </w:tcPr>
          <w:p>
            <w:pPr>
              <w:pStyle w:val="928"/>
              <w:jc w:val="left"/>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c>
          <w:tcPr>
            <w:tcBorders>
              <w:left w:val="single" w:color="auto" w:sz="4" w:space="0"/>
              <w:right w:val="single" w:color="auto" w:sz="4" w:space="0"/>
            </w:tcBorders>
            <w:tcW w:w="1215" w:type="dxa"/>
            <w:vAlign w:val="center"/>
            <w:textDirection w:val="lrTb"/>
            <w:noWrap w:val="false"/>
          </w:tcPr>
          <w:p>
            <w:pPr>
              <w:pStyle w:val="928"/>
              <w:jc w:val="left"/>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c>
          <w:tcPr>
            <w:tcBorders>
              <w:left w:val="single" w:color="auto" w:sz="4" w:space="0"/>
              <w:right w:val="single" w:color="auto" w:sz="4" w:space="0"/>
            </w:tcBorders>
            <w:tcW w:w="1215" w:type="dxa"/>
            <w:vAlign w:val="center"/>
            <w:textDirection w:val="lrTb"/>
            <w:noWrap w:val="false"/>
          </w:tcPr>
          <w:p>
            <w:pPr>
              <w:pStyle w:val="928"/>
              <w:jc w:val="left"/>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pStyle w:val="928"/>
              <w:jc w:val="left"/>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pStyle w:val="928"/>
              <w:jc w:val="left"/>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pStyle w:val="928"/>
              <w:jc w:val="left"/>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r>
      <w:tr>
        <w:trPr>
          <w:jc w:val="center"/>
          <w:trHeight w:val="230"/>
        </w:trPr>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pStyle w:val="928"/>
              <w:jc w:val="left"/>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c>
          <w:tcPr>
            <w:tcBorders>
              <w:left w:val="single" w:color="auto" w:sz="4" w:space="0"/>
              <w:right w:val="single" w:color="auto" w:sz="4" w:space="0"/>
            </w:tcBorders>
            <w:tcW w:w="2429" w:type="dxa"/>
            <w:vAlign w:val="center"/>
            <w:textDirection w:val="lrTb"/>
            <w:noWrap w:val="false"/>
          </w:tcPr>
          <w:p>
            <w:pPr>
              <w:pStyle w:val="928"/>
              <w:jc w:val="left"/>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c>
          <w:tcPr>
            <w:tcBorders>
              <w:left w:val="single" w:color="auto" w:sz="4" w:space="0"/>
              <w:right w:val="single" w:color="auto" w:sz="4" w:space="0"/>
            </w:tcBorders>
            <w:tcW w:w="1215" w:type="dxa"/>
            <w:vAlign w:val="center"/>
            <w:textDirection w:val="lrTb"/>
            <w:noWrap w:val="false"/>
          </w:tcPr>
          <w:p>
            <w:pPr>
              <w:pStyle w:val="928"/>
              <w:jc w:val="left"/>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c>
          <w:tcPr>
            <w:tcBorders>
              <w:left w:val="single" w:color="auto" w:sz="4" w:space="0"/>
              <w:right w:val="single" w:color="auto" w:sz="4" w:space="0"/>
            </w:tcBorders>
            <w:tcW w:w="1215" w:type="dxa"/>
            <w:vAlign w:val="center"/>
            <w:textDirection w:val="lrTb"/>
            <w:noWrap w:val="false"/>
          </w:tcPr>
          <w:p>
            <w:pPr>
              <w:pStyle w:val="928"/>
              <w:jc w:val="left"/>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pStyle w:val="928"/>
              <w:jc w:val="left"/>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pStyle w:val="928"/>
              <w:jc w:val="left"/>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pStyle w:val="928"/>
              <w:jc w:val="left"/>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r>
      <w:tr>
        <w:trPr>
          <w:jc w:val="center"/>
          <w:trHeight w:val="219"/>
        </w:trPr>
        <w:tc>
          <w:tcPr>
            <w:gridSpan w:val="5"/>
            <w:tcBorders>
              <w:top w:val="single" w:color="auto" w:sz="4" w:space="0"/>
              <w:left w:val="single" w:color="auto" w:sz="4" w:space="0"/>
              <w:bottom w:val="single" w:color="auto" w:sz="4" w:space="0"/>
              <w:right w:val="single" w:color="auto" w:sz="4" w:space="0"/>
            </w:tcBorders>
            <w:tcW w:w="6869" w:type="dxa"/>
            <w:vAlign w:val="center"/>
            <w:textDirection w:val="lrTb"/>
            <w:noWrap w:val="false"/>
          </w:tcPr>
          <w:p>
            <w:pPr>
              <w:pStyle w:val="928"/>
              <w:jc w:val="left"/>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t xml:space="preserve">合计</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pStyle w:val="928"/>
              <w:jc w:val="left"/>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pStyle w:val="928"/>
              <w:jc w:val="left"/>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tc>
      </w:tr>
    </w:tbl>
    <w:p>
      <w:pPr>
        <w:numPr>
          <w:ilvl w:val="0"/>
          <w:numId w:val="2"/>
        </w:numPr>
        <w:jc w:val="left"/>
        <w:spacing w:line="360" w:lineRule="auto"/>
        <w:rPr>
          <w:rFonts w:ascii="宋体" w:hAnsi="宋体" w:cs="宋体"/>
          <w:b/>
          <w:bCs/>
          <w:szCs w:val="21"/>
        </w:rPr>
      </w:pPr>
      <w:r>
        <w:rPr>
          <w:rFonts w:hint="eastAsia" w:ascii="宋体" w:hAnsi="宋体" w:cs="宋体"/>
          <w:b/>
          <w:bCs/>
          <w:szCs w:val="21"/>
        </w:rPr>
        <w:t xml:space="preserve">合同总价款 </w:t>
      </w:r>
      <w:r/>
    </w:p>
    <w:p>
      <w:pPr>
        <w:jc w:val="left"/>
        <w:spacing w:line="360" w:lineRule="auto"/>
        <w:rPr>
          <w:rFonts w:ascii="宋体" w:hAnsi="宋体" w:cs="宋体"/>
          <w:szCs w:val="21"/>
        </w:rPr>
      </w:pPr>
      <w:r>
        <w:rPr>
          <w:rFonts w:hint="eastAsia" w:ascii="宋体" w:hAnsi="宋体" w:cs="宋体"/>
          <w:szCs w:val="21"/>
        </w:rPr>
        <w:t xml:space="preserve">本合同项下货物总价款为</w:t>
      </w:r>
      <w:r>
        <w:rPr>
          <w:rFonts w:hint="eastAsia" w:ascii="宋体" w:hAnsi="宋体" w:cs="宋体"/>
          <w:szCs w:val="21"/>
          <w:u w:val="single"/>
        </w:rPr>
        <w:t xml:space="preserve">   （大写）</w:t>
      </w:r>
      <w:r>
        <w:rPr>
          <w:rFonts w:hint="eastAsia" w:ascii="宋体" w:hAnsi="宋体" w:cs="宋体"/>
          <w:szCs w:val="21"/>
        </w:rPr>
        <w:t xml:space="preserve">人民币，分项价款在“投标报价表”中有明确规定。 </w:t>
      </w:r>
      <w:r/>
    </w:p>
    <w:p>
      <w:pPr>
        <w:jc w:val="left"/>
        <w:spacing w:line="360" w:lineRule="auto"/>
        <w:rPr>
          <w:rFonts w:ascii="宋体" w:hAnsi="宋体" w:cs="宋体"/>
          <w:szCs w:val="21"/>
        </w:rPr>
      </w:pPr>
      <w:r>
        <w:rPr>
          <w:rFonts w:hint="eastAsia" w:ascii="宋体" w:hAnsi="宋体" w:cs="宋体"/>
          <w:szCs w:val="21"/>
        </w:rPr>
        <w:t xml:space="preserve">本合同总价款包含以下内容：</w:t>
      </w:r>
      <w:r/>
    </w:p>
    <w:p>
      <w:pPr>
        <w:jc w:val="left"/>
        <w:spacing w:line="360" w:lineRule="auto"/>
        <w:rPr>
          <w:rFonts w:ascii="宋体" w:hAnsi="宋体" w:cs="宋体"/>
          <w:szCs w:val="21"/>
        </w:rPr>
      </w:pPr>
      <w:r>
        <w:rPr>
          <w:rFonts w:hint="eastAsia" w:ascii="宋体" w:hAnsi="宋体" w:cs="宋体"/>
          <w:szCs w:val="21"/>
        </w:rPr>
        <w:t xml:space="preserve">（1）货物设计、制造、包装、仓储、运输、装卸、保险、安装、调试及其材料；</w:t>
      </w:r>
      <w:r/>
    </w:p>
    <w:p>
      <w:pPr>
        <w:jc w:val="left"/>
        <w:spacing w:line="360" w:lineRule="auto"/>
        <w:rPr>
          <w:rFonts w:ascii="宋体" w:hAnsi="宋体" w:cs="宋体"/>
          <w:szCs w:val="21"/>
        </w:rPr>
      </w:pPr>
      <w:r>
        <w:rPr>
          <w:rFonts w:hint="eastAsia" w:ascii="宋体" w:hAnsi="宋体" w:cs="宋体"/>
          <w:szCs w:val="21"/>
        </w:rPr>
        <w:t xml:space="preserve">（2）验收合格之前保管及质保期内备品备件、专用工具、伴随服务、技术图纸资料、人员培训发生的所有含税费用；</w:t>
      </w:r>
      <w:r/>
    </w:p>
    <w:p>
      <w:pPr>
        <w:jc w:val="left"/>
        <w:spacing w:line="360" w:lineRule="auto"/>
        <w:rPr>
          <w:rFonts w:ascii="宋体" w:hAnsi="宋体" w:cs="宋体"/>
          <w:szCs w:val="21"/>
        </w:rPr>
      </w:pPr>
      <w:r>
        <w:rPr>
          <w:rFonts w:hint="eastAsia" w:ascii="宋体" w:hAnsi="宋体" w:cs="宋体"/>
          <w:szCs w:val="21"/>
        </w:rPr>
        <w:t xml:space="preserve">（3）支付给员工的工资和国家强制缴纳的各种社会保障资金；</w:t>
      </w:r>
      <w:r/>
    </w:p>
    <w:p>
      <w:pPr>
        <w:jc w:val="left"/>
        <w:spacing w:line="360" w:lineRule="auto"/>
        <w:rPr>
          <w:rFonts w:ascii="宋体" w:hAnsi="宋体" w:cs="宋体"/>
          <w:szCs w:val="21"/>
        </w:rPr>
      </w:pPr>
      <w:r>
        <w:rPr>
          <w:rFonts w:hint="eastAsia" w:ascii="宋体" w:hAnsi="宋体" w:cs="宋体"/>
          <w:szCs w:val="21"/>
        </w:rPr>
        <w:t xml:space="preserve">（4）乙方应当提供的伴随服务/售后服务费用；</w:t>
      </w:r>
      <w:r/>
    </w:p>
    <w:p>
      <w:pPr>
        <w:jc w:val="left"/>
        <w:spacing w:line="360" w:lineRule="auto"/>
        <w:rPr>
          <w:rFonts w:ascii="宋体" w:hAnsi="宋体" w:cs="宋体"/>
          <w:szCs w:val="21"/>
        </w:rPr>
      </w:pPr>
      <w:r>
        <w:rPr>
          <w:rFonts w:hint="eastAsia" w:ascii="宋体" w:hAnsi="宋体" w:cs="宋体"/>
          <w:szCs w:val="21"/>
        </w:rPr>
        <w:t xml:space="preserve">（5）投标人认为需要的其他费用。 </w:t>
      </w:r>
      <w:r/>
    </w:p>
    <w:p>
      <w:pPr>
        <w:jc w:val="left"/>
        <w:spacing w:line="360" w:lineRule="auto"/>
        <w:rPr>
          <w:rFonts w:ascii="宋体" w:hAnsi="宋体" w:cs="宋体"/>
          <w:szCs w:val="21"/>
        </w:rPr>
      </w:pPr>
      <w:r>
        <w:rPr>
          <w:rFonts w:hint="eastAsia" w:ascii="宋体" w:hAnsi="宋体" w:cs="宋体"/>
          <w:szCs w:val="21"/>
        </w:rPr>
        <w:t xml:space="preserve">本合同执行期间综合单价不变。 </w:t>
      </w:r>
      <w:r/>
    </w:p>
    <w:p>
      <w:pPr>
        <w:numPr>
          <w:ilvl w:val="0"/>
          <w:numId w:val="2"/>
        </w:numPr>
        <w:jc w:val="left"/>
        <w:spacing w:line="360" w:lineRule="auto"/>
        <w:rPr>
          <w:rFonts w:ascii="宋体" w:hAnsi="宋体" w:cs="宋体"/>
          <w:b/>
          <w:bCs/>
          <w:szCs w:val="21"/>
        </w:rPr>
      </w:pPr>
      <w:r>
        <w:rPr>
          <w:rFonts w:hint="eastAsia" w:ascii="宋体" w:hAnsi="宋体" w:cs="宋体"/>
          <w:b/>
          <w:bCs/>
          <w:szCs w:val="21"/>
        </w:rPr>
        <w:t xml:space="preserve"> 合同期限、地点 </w:t>
      </w:r>
      <w:r/>
    </w:p>
    <w:p>
      <w:pPr>
        <w:jc w:val="left"/>
        <w:spacing w:line="360" w:lineRule="auto"/>
        <w:rPr>
          <w:rFonts w:ascii="宋体" w:hAnsi="宋体" w:cs="宋体"/>
          <w:szCs w:val="21"/>
        </w:rPr>
      </w:pPr>
      <w:r>
        <w:rPr>
          <w:rFonts w:hint="eastAsia" w:ascii="宋体" w:hAnsi="宋体" w:cs="宋体"/>
          <w:szCs w:val="21"/>
        </w:rPr>
        <w:t xml:space="preserve">1、合同期限：</w:t>
      </w:r>
      <w:r>
        <w:rPr>
          <w:rFonts w:hint="eastAsia" w:ascii="宋体" w:hAnsi="宋体" w:cs="宋体"/>
          <w:szCs w:val="21"/>
          <w:u w:val="single"/>
        </w:rPr>
        <w:t xml:space="preserve"> </w:t>
      </w:r>
      <w:r>
        <w:rPr>
          <w:rFonts w:hint="eastAsia" w:ascii="宋体" w:hAnsi="宋体" w:cs="宋体"/>
          <w:szCs w:val="21"/>
          <w:u w:val="none"/>
        </w:rPr>
        <w:t xml:space="preserve">          </w:t>
      </w:r>
      <w:r>
        <w:rPr>
          <w:rFonts w:hint="eastAsia" w:ascii="宋体" w:hAnsi="宋体" w:cs="宋体"/>
          <w:szCs w:val="21"/>
          <w:u w:val="single"/>
        </w:rPr>
        <w:t xml:space="preserve">            </w:t>
      </w:r>
      <w:r/>
    </w:p>
    <w:p>
      <w:pPr>
        <w:jc w:val="left"/>
        <w:spacing w:line="360" w:lineRule="auto"/>
      </w:pPr>
      <w:r>
        <w:rPr>
          <w:rFonts w:hint="eastAsia" w:ascii="宋体" w:hAnsi="宋体" w:cs="宋体"/>
          <w:szCs w:val="21"/>
        </w:rPr>
        <w:t xml:space="preserve">2、合同地点：</w:t>
      </w:r>
      <w:r>
        <w:rPr>
          <w:rFonts w:hint="eastAsia" w:ascii="宋体" w:hAnsi="宋体" w:cs="宋体"/>
          <w:szCs w:val="21"/>
          <w:u w:val="single"/>
        </w:rPr>
        <w:t xml:space="preserve">               </w:t>
      </w:r>
      <w:r/>
    </w:p>
    <w:p>
      <w:pPr>
        <w:numPr>
          <w:ilvl w:val="0"/>
          <w:numId w:val="2"/>
        </w:numPr>
        <w:jc w:val="left"/>
        <w:spacing w:line="360" w:lineRule="auto"/>
        <w:rPr>
          <w:rFonts w:ascii="宋体" w:hAnsi="宋体" w:cs="宋体"/>
          <w:b/>
          <w:bCs/>
          <w:szCs w:val="21"/>
        </w:rPr>
      </w:pPr>
      <w:r>
        <w:rPr>
          <w:rFonts w:hint="eastAsia" w:ascii="宋体" w:hAnsi="宋体" w:cs="宋体"/>
          <w:b/>
          <w:bCs/>
          <w:szCs w:val="21"/>
        </w:rPr>
        <w:t xml:space="preserve"> 组成本合同的有关文件 </w:t>
      </w:r>
      <w:r/>
    </w:p>
    <w:p>
      <w:pPr>
        <w:jc w:val="left"/>
        <w:spacing w:line="360" w:lineRule="auto"/>
        <w:rPr>
          <w:rFonts w:ascii="宋体" w:hAnsi="宋体" w:cs="宋体"/>
          <w:szCs w:val="21"/>
        </w:rPr>
      </w:pPr>
      <w:r>
        <w:rPr>
          <w:rFonts w:hint="eastAsia" w:ascii="宋体" w:hAnsi="宋体" w:cs="宋体"/>
          <w:szCs w:val="21"/>
        </w:rPr>
        <w:t xml:space="preserve">下列关于南京市政府采购</w:t>
      </w:r>
      <w:r>
        <w:rPr>
          <w:rFonts w:hint="eastAsia" w:ascii="宋体" w:hAnsi="宋体" w:cs="宋体"/>
          <w:szCs w:val="21"/>
          <w:u w:val="single"/>
        </w:rPr>
        <w:t xml:space="preserve">     （项目编号）</w:t>
      </w:r>
      <w:r>
        <w:rPr>
          <w:rFonts w:hint="eastAsia" w:ascii="宋体" w:hAnsi="宋体" w:cs="宋体"/>
          <w:szCs w:val="21"/>
        </w:rPr>
        <w:t xml:space="preserve">的招标（采购）文件、投标（响应）文件，以及与本次采购活动方式相适应的文件及有关附件是本合同不可分割的组成部分，与本合同具有同等法律效力，这些文件包括但不限于：</w:t>
      </w:r>
      <w:r/>
    </w:p>
    <w:p>
      <w:pPr>
        <w:jc w:val="left"/>
        <w:spacing w:line="360" w:lineRule="auto"/>
        <w:rPr>
          <w:rFonts w:ascii="宋体" w:hAnsi="宋体" w:eastAsia="宋体" w:cs="宋体"/>
          <w:sz w:val="21"/>
          <w:szCs w:val="21"/>
          <w:lang w:val="en-US"/>
        </w:rPr>
      </w:pPr>
      <w:r>
        <w:rPr>
          <w:rFonts w:hint="eastAsia" w:ascii="宋体" w:hAnsi="宋体" w:cs="宋体"/>
          <w:szCs w:val="21"/>
        </w:rPr>
        <w:t xml:space="preserve">（1）投标（响应）文件和报价表；（2）供货一览表； （3）交货一览表； （4）技术响应偏离表；</w:t>
      </w:r>
      <w:r>
        <w:rPr>
          <w:rFonts w:hint="eastAsia" w:ascii="宋体" w:hAnsi="宋体" w:eastAsia="宋体" w:cs="宋体"/>
          <w:sz w:val="21"/>
          <w:szCs w:val="21"/>
          <w:lang w:val="en-US"/>
        </w:rPr>
        <w:t xml:space="preserve">（5）投标（响应）承诺； （6）服务承诺； （7）中标（成交）通知书； （8）甲乙双方商定的其他文件等。</w:t>
      </w:r>
      <w:r/>
    </w:p>
    <w:p>
      <w:pPr>
        <w:pStyle w:val="928"/>
        <w:jc w:val="left"/>
        <w:spacing w:line="360" w:lineRule="auto"/>
        <w:rPr>
          <w:rFonts w:ascii="宋体" w:hAnsi="宋体" w:eastAsia="宋体" w:cs="宋体"/>
          <w:b/>
          <w:bCs/>
          <w:sz w:val="21"/>
          <w:szCs w:val="21"/>
          <w:lang w:val="en-US"/>
        </w:rPr>
      </w:pPr>
      <w:r>
        <w:rPr>
          <w:rFonts w:hint="eastAsia" w:ascii="宋体" w:hAnsi="宋体" w:eastAsia="宋体" w:cs="宋体"/>
          <w:b/>
          <w:bCs/>
          <w:sz w:val="21"/>
          <w:szCs w:val="21"/>
          <w:lang w:val="en-US"/>
        </w:rPr>
        <w:t xml:space="preserve">第五条 权利保证 </w:t>
      </w:r>
      <w:r/>
    </w:p>
    <w:p>
      <w:pPr>
        <w:pStyle w:val="928"/>
        <w:jc w:val="left"/>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乙方应保证甲方在使用该货物或其任何一部分时不受第三方提出侵犯其专利权、版权、商标权或其他权利的起诉。一旦出现侵权，乙方应承担全部责任。 </w:t>
      </w:r>
      <w:r/>
    </w:p>
    <w:p>
      <w:pPr>
        <w:pStyle w:val="928"/>
        <w:jc w:val="left"/>
        <w:spacing w:line="360" w:lineRule="auto"/>
        <w:rPr>
          <w:rFonts w:ascii="宋体" w:hAnsi="宋体" w:eastAsia="宋体" w:cs="宋体"/>
          <w:b/>
          <w:bCs/>
          <w:sz w:val="21"/>
          <w:szCs w:val="21"/>
          <w:lang w:val="en-US"/>
        </w:rPr>
      </w:pPr>
      <w:r>
        <w:rPr>
          <w:rFonts w:hint="eastAsia" w:ascii="宋体" w:hAnsi="宋体" w:eastAsia="宋体" w:cs="宋体"/>
          <w:b/>
          <w:bCs/>
          <w:sz w:val="21"/>
          <w:szCs w:val="21"/>
          <w:lang w:val="en-US"/>
        </w:rPr>
        <w:t xml:space="preserve">第六条 质量保证</w:t>
      </w:r>
      <w:r/>
    </w:p>
    <w:p>
      <w:pPr>
        <w:pStyle w:val="928"/>
        <w:jc w:val="left"/>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1、乙方所提供的货物的技术规格应与招标（采购）文件规定的技术规格及所附的“技术响应偏离表”相一致；若技术性能无特殊说明，则按国家有关部门最新颁布的标准及规范为准。</w:t>
      </w:r>
      <w:r/>
    </w:p>
    <w:p>
      <w:pPr>
        <w:pStyle w:val="928"/>
        <w:jc w:val="left"/>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2、乙方应保证货物是全新、未使用过的原装合格正品，并完全符合合同规定的质量、规格和性能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pStyle w:val="928"/>
        <w:jc w:val="left"/>
        <w:spacing w:line="360" w:lineRule="auto"/>
        <w:rPr>
          <w:rFonts w:ascii="宋体" w:hAnsi="宋体" w:eastAsia="宋体" w:cs="宋体"/>
          <w:sz w:val="21"/>
          <w:szCs w:val="21"/>
          <w:u w:val="single"/>
          <w:lang w:val="en-US"/>
        </w:rPr>
      </w:pPr>
      <w:r>
        <w:rPr>
          <w:rFonts w:hint="eastAsia" w:ascii="宋体" w:hAnsi="宋体" w:eastAsia="宋体" w:cs="宋体"/>
          <w:sz w:val="21"/>
          <w:szCs w:val="21"/>
          <w:lang w:val="en-US"/>
        </w:rPr>
        <w:t xml:space="preserve">3、质量保证期为自验收合格后</w:t>
      </w:r>
      <w:r>
        <w:rPr>
          <w:rFonts w:hint="eastAsia" w:ascii="宋体" w:hAnsi="宋体" w:cs="宋体"/>
          <w:szCs w:val="21"/>
          <w:u w:val="single"/>
        </w:rPr>
        <w:t xml:space="preserve">            </w:t>
      </w:r>
      <w:r>
        <w:rPr>
          <w:rFonts w:hint="eastAsia" w:ascii="宋体" w:hAnsi="宋体" w:eastAsia="宋体" w:cs="宋体"/>
          <w:sz w:val="21"/>
          <w:szCs w:val="21"/>
          <w:lang w:val="en-US"/>
        </w:rPr>
        <w:t xml:space="preserve">。</w:t>
      </w:r>
      <w:r/>
    </w:p>
    <w:p>
      <w:pPr>
        <w:pStyle w:val="928"/>
        <w:jc w:val="left"/>
        <w:spacing w:line="360" w:lineRule="auto"/>
        <w:rPr>
          <w:rFonts w:ascii="宋体" w:hAnsi="宋体" w:eastAsia="宋体" w:cs="宋体"/>
          <w:b/>
          <w:bCs/>
          <w:sz w:val="21"/>
          <w:szCs w:val="21"/>
          <w:lang w:val="en-US"/>
        </w:rPr>
      </w:pPr>
      <w:r>
        <w:rPr>
          <w:rFonts w:hint="eastAsia" w:ascii="宋体" w:hAnsi="宋体" w:eastAsia="宋体" w:cs="宋体"/>
          <w:b/>
          <w:bCs/>
          <w:sz w:val="21"/>
          <w:szCs w:val="21"/>
          <w:lang w:val="en-US"/>
        </w:rPr>
        <w:t xml:space="preserve">第七条 包装要求</w:t>
      </w:r>
      <w:r/>
    </w:p>
    <w:p>
      <w:pPr>
        <w:pStyle w:val="928"/>
        <w:jc w:val="left"/>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pStyle w:val="928"/>
        <w:jc w:val="left"/>
        <w:spacing w:line="360" w:lineRule="auto"/>
        <w:rPr>
          <w:rFonts w:ascii="宋体" w:hAnsi="宋体" w:eastAsia="宋体" w:cs="宋体"/>
          <w:b/>
          <w:bCs/>
          <w:sz w:val="21"/>
          <w:szCs w:val="21"/>
          <w:lang w:val="en-US"/>
        </w:rPr>
      </w:pPr>
      <w:r>
        <w:rPr>
          <w:rFonts w:hint="eastAsia" w:ascii="宋体" w:hAnsi="宋体" w:eastAsia="宋体" w:cs="宋体"/>
          <w:b/>
          <w:bCs/>
          <w:sz w:val="21"/>
          <w:szCs w:val="21"/>
          <w:lang w:val="en-US"/>
        </w:rPr>
        <w:t xml:space="preserve">第八条 交货和验收</w:t>
      </w:r>
      <w:r/>
    </w:p>
    <w:p>
      <w:pPr>
        <w:pStyle w:val="928"/>
        <w:jc w:val="left"/>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1、乙方应当在合同签订后内将货物安装调试完毕交付甲方正常使用，地点由甲方指定。招标（采购）文件有约定的，从其约定。</w:t>
      </w:r>
      <w:r/>
    </w:p>
    <w:p>
      <w:pPr>
        <w:pStyle w:val="928"/>
        <w:jc w:val="left"/>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2、乙方交付的货物应当完全符合本合同或者招标（采购）文件规定、投标（响应）文件所承诺的数量和规格要求。乙方提供的货物不符合招标（采购）文件、投标（响应）文件和合同规定的，甲方有权拒收货物，由此引起的风险，由乙方承担。</w:t>
      </w:r>
      <w:r/>
    </w:p>
    <w:p>
      <w:pPr>
        <w:pStyle w:val="928"/>
        <w:jc w:val="left"/>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3、货物的到货验收包括：型号、规格、数量、外观质量</w:t>
      </w:r>
      <w:r>
        <w:rPr>
          <w:rFonts w:hint="eastAsia" w:ascii="宋体" w:hAnsi="宋体" w:eastAsia="宋体" w:cs="宋体"/>
          <w:sz w:val="21"/>
          <w:szCs w:val="21"/>
          <w:lang w:val="en-US" w:eastAsia="zh-CN"/>
        </w:rPr>
        <w:t xml:space="preserve">、以</w:t>
      </w:r>
      <w:r>
        <w:rPr>
          <w:rFonts w:hint="eastAsia" w:ascii="宋体" w:hAnsi="宋体" w:eastAsia="宋体" w:cs="宋体"/>
          <w:sz w:val="21"/>
          <w:szCs w:val="21"/>
          <w:lang w:val="en-US"/>
        </w:rPr>
        <w:t xml:space="preserve">及货物包装是否完好。</w:t>
      </w:r>
      <w:r/>
    </w:p>
    <w:p>
      <w:pPr>
        <w:pStyle w:val="928"/>
        <w:jc w:val="left"/>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pStyle w:val="928"/>
        <w:jc w:val="left"/>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5、货物和系统调试验收的标准：按行业通行标准、厂方出厂标准和乙方投标（响应）文件的承诺（详见合同附件载明的标准，并不低于国家相关标准）。</w:t>
      </w:r>
      <w:r>
        <w:rPr>
          <w:rFonts w:hint="eastAsia" w:ascii="宋体" w:hAnsi="宋体" w:eastAsia="宋体" w:cs="宋体"/>
          <w:sz w:val="21"/>
          <w:szCs w:val="21"/>
          <w:lang w:val="en-US"/>
        </w:rPr>
        <w:br/>
      </w:r>
      <w:r>
        <w:rPr>
          <w:rFonts w:hint="eastAsia" w:ascii="宋体" w:hAnsi="宋体" w:eastAsia="宋体" w:cs="宋体"/>
          <w:b/>
          <w:bCs/>
          <w:sz w:val="21"/>
          <w:szCs w:val="21"/>
          <w:lang w:val="en-US"/>
        </w:rPr>
        <w:t xml:space="preserve">第九条 伴随服务/售后服务 </w:t>
      </w:r>
      <w:r/>
    </w:p>
    <w:p>
      <w:pPr>
        <w:pStyle w:val="928"/>
        <w:jc w:val="left"/>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1、乙方应按照国家有关法律法规规章和“三包”规定以及合同所附的“服务承诺”提供服务。 </w:t>
      </w:r>
      <w:r/>
    </w:p>
    <w:p>
      <w:pPr>
        <w:pStyle w:val="928"/>
        <w:jc w:val="left"/>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2、除前款规定外，乙方还应提供下列服务： </w:t>
      </w:r>
      <w:r/>
    </w:p>
    <w:p>
      <w:pPr>
        <w:pStyle w:val="928"/>
        <w:jc w:val="left"/>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（1）货物的现场安装、调试和/或启动监督； </w:t>
      </w:r>
      <w:r/>
    </w:p>
    <w:p>
      <w:pPr>
        <w:pStyle w:val="928"/>
        <w:jc w:val="left"/>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（2）就货物的安装、启动、运行及维护等对甲方人员进行免费培训。 </w:t>
      </w:r>
      <w:r/>
    </w:p>
    <w:p>
      <w:pPr>
        <w:pStyle w:val="928"/>
        <w:jc w:val="left"/>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3、乙方提供全方位的、优质的、高效的质量保证体系，以及技术支持和售后服务。乙方须提供不少于两年的硬件设备技术支持与售后服务，质保期满后相关维护费用由乙方与甲方另行协商。质保期内，要保证交货范围内设备正常运行。当设备出现故障时，及时响应。当设备出现故障时，应在30分钟内响应，如果故障在检修24小时后仍无法排除，应在48小时内提供不低于故障设备规格型号档次的备用设备供甲方使用，直至故障设备修复。</w:t>
      </w:r>
      <w:r/>
    </w:p>
    <w:p>
      <w:pPr>
        <w:pStyle w:val="928"/>
        <w:jc w:val="left"/>
        <w:spacing w:line="360" w:lineRule="auto"/>
        <w:rPr>
          <w:rFonts w:ascii="宋体" w:hAnsi="宋体" w:eastAsia="宋体" w:cs="宋体"/>
          <w:b/>
          <w:bCs/>
          <w:sz w:val="21"/>
          <w:szCs w:val="21"/>
          <w:lang w:val="en-US"/>
        </w:rPr>
      </w:pPr>
      <w:r>
        <w:rPr>
          <w:rFonts w:hint="eastAsia" w:ascii="宋体" w:hAnsi="宋体" w:eastAsia="宋体" w:cs="宋体"/>
          <w:b/>
          <w:bCs/>
          <w:sz w:val="21"/>
          <w:szCs w:val="21"/>
          <w:lang w:val="en-US"/>
        </w:rPr>
        <w:t xml:space="preserve">第十条 履约保证金 </w:t>
      </w:r>
      <w:r/>
    </w:p>
    <w:p>
      <w:pPr>
        <w:pStyle w:val="928"/>
        <w:jc w:val="left"/>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1、中标（成交）投标人应按以下第</w:t>
      </w:r>
      <w:r>
        <w:rPr>
          <w:rFonts w:hint="eastAsia" w:ascii="宋体" w:hAnsi="宋体" w:eastAsia="宋体" w:cs="宋体"/>
          <w:sz w:val="21"/>
          <w:szCs w:val="21"/>
          <w:u w:val="single"/>
          <w:lang w:val="en-US"/>
        </w:rPr>
        <w:t xml:space="preserve">（ </w:t>
      </w:r>
      <w:r>
        <w:rPr>
          <w:rFonts w:hint="eastAsia" w:ascii="宋体" w:hAnsi="宋体" w:eastAsia="宋体" w:cs="宋体"/>
          <w:sz w:val="21"/>
          <w:szCs w:val="21"/>
          <w:u w:val="single"/>
          <w:lang w:val="en-US" w:eastAsia="zh-CN"/>
        </w:rPr>
        <w:t xml:space="preserve">1</w:t>
      </w:r>
      <w:r>
        <w:rPr>
          <w:rFonts w:hint="eastAsia" w:ascii="宋体" w:hAnsi="宋体" w:eastAsia="宋体" w:cs="宋体"/>
          <w:sz w:val="21"/>
          <w:szCs w:val="21"/>
          <w:u w:val="single"/>
          <w:lang w:val="en-US"/>
        </w:rPr>
        <w:t xml:space="preserve"> ）</w:t>
      </w:r>
      <w:r>
        <w:rPr>
          <w:rFonts w:hint="eastAsia" w:ascii="宋体" w:hAnsi="宋体" w:eastAsia="宋体" w:cs="宋体"/>
          <w:sz w:val="21"/>
          <w:szCs w:val="21"/>
          <w:lang w:val="en-US"/>
        </w:rPr>
        <w:t xml:space="preserve">方式向招标人缴纳履约保证金：</w:t>
      </w:r>
      <w:r/>
    </w:p>
    <w:p>
      <w:pPr>
        <w:pStyle w:val="928"/>
        <w:jc w:val="left"/>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（1）无需缴纳履约保证金；</w:t>
      </w:r>
      <w:r/>
    </w:p>
    <w:p>
      <w:pPr>
        <w:pStyle w:val="928"/>
        <w:jc w:val="left"/>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（2）投标保证金转为履约保证金；</w:t>
      </w:r>
      <w:r/>
    </w:p>
    <w:p>
      <w:pPr>
        <w:pStyle w:val="928"/>
        <w:jc w:val="left"/>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（3）以银行转账、汇款及其他相关方式缴纳履约保证金，金额为</w:t>
      </w:r>
      <w:r>
        <w:rPr>
          <w:rFonts w:hint="eastAsia" w:ascii="宋体" w:hAnsi="宋体" w:eastAsia="宋体" w:cs="宋体"/>
          <w:sz w:val="21"/>
          <w:szCs w:val="21"/>
          <w:u w:val="single"/>
          <w:lang w:val="en-US"/>
        </w:rPr>
        <w:t xml:space="preserve">      </w:t>
      </w:r>
      <w:r>
        <w:rPr>
          <w:rFonts w:hint="eastAsia" w:ascii="宋体" w:hAnsi="宋体" w:eastAsia="宋体" w:cs="宋体"/>
          <w:sz w:val="21"/>
          <w:szCs w:val="21"/>
          <w:lang w:val="en-US"/>
        </w:rPr>
        <w:t xml:space="preserve">万元。</w:t>
      </w:r>
      <w:r/>
    </w:p>
    <w:p>
      <w:pPr>
        <w:pStyle w:val="928"/>
        <w:jc w:val="left"/>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2、履约保证金的有效期至</w:t>
      </w:r>
      <w:r>
        <w:rPr>
          <w:rFonts w:hint="eastAsia" w:ascii="宋体" w:hAnsi="宋体" w:eastAsia="宋体" w:cs="宋体"/>
          <w:sz w:val="21"/>
          <w:szCs w:val="21"/>
          <w:u w:val="single"/>
          <w:lang w:val="en-US"/>
        </w:rPr>
        <w:t xml:space="preserve">      </w:t>
      </w:r>
      <w:r>
        <w:rPr>
          <w:rFonts w:hint="eastAsia" w:ascii="宋体" w:hAnsi="宋体" w:eastAsia="宋体" w:cs="宋体"/>
          <w:sz w:val="21"/>
          <w:szCs w:val="21"/>
          <w:lang w:val="en-US"/>
        </w:rPr>
        <w:t xml:space="preserve">。 </w:t>
      </w:r>
      <w:r/>
    </w:p>
    <w:p>
      <w:pPr>
        <w:pStyle w:val="928"/>
        <w:jc w:val="left"/>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3、如乙方未能履行合同规定的义务，甲方有权从履约保证金中取得补偿。 </w:t>
      </w:r>
      <w:r/>
    </w:p>
    <w:p>
      <w:pPr>
        <w:pStyle w:val="928"/>
        <w:jc w:val="left"/>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4、履约保证金扣除甲方应得的补偿后的余额在有效期满后15个工作日内无息退还给乙方。 </w:t>
      </w:r>
      <w:r/>
    </w:p>
    <w:p>
      <w:pPr>
        <w:pStyle w:val="928"/>
        <w:jc w:val="left"/>
        <w:spacing w:line="360" w:lineRule="auto"/>
        <w:rPr>
          <w:rFonts w:ascii="宋体" w:hAnsi="宋体" w:eastAsia="宋体" w:cs="宋体"/>
          <w:b/>
          <w:bCs/>
          <w:sz w:val="21"/>
          <w:szCs w:val="21"/>
          <w:lang w:val="en-US"/>
        </w:rPr>
      </w:pPr>
      <w:r>
        <w:rPr>
          <w:rFonts w:hint="eastAsia" w:ascii="宋体" w:hAnsi="宋体" w:eastAsia="宋体" w:cs="宋体"/>
          <w:b/>
          <w:bCs/>
          <w:sz w:val="21"/>
          <w:szCs w:val="21"/>
          <w:lang w:val="en-US"/>
        </w:rPr>
        <w:t xml:space="preserve">第十一条 合同款支付 </w:t>
      </w:r>
      <w:r/>
    </w:p>
    <w:p>
      <w:pPr>
        <w:pStyle w:val="928"/>
        <w:jc w:val="left"/>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1、本合同项下所有款项均以人民币支付 </w:t>
      </w:r>
      <w:r/>
    </w:p>
    <w:p>
      <w:pPr>
        <w:pStyle w:val="928"/>
        <w:jc w:val="left"/>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2、本合同项下的采购资金由甲方自行支付，乙方向甲方开具发票</w:t>
      </w:r>
      <w:r/>
    </w:p>
    <w:p>
      <w:pPr>
        <w:pStyle w:val="928"/>
        <w:jc w:val="left"/>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rPr>
        <w:t xml:space="preserve">3、付款进度：合同签订</w:t>
      </w:r>
      <w:r>
        <w:rPr>
          <w:rFonts w:hint="eastAsia" w:ascii="宋体" w:hAnsi="宋体" w:eastAsia="宋体" w:cs="宋体"/>
          <w:sz w:val="21"/>
          <w:szCs w:val="21"/>
          <w:lang w:val="en-US" w:eastAsia="zh-CN"/>
        </w:rPr>
        <w:t xml:space="preserve">后30天内</w:t>
      </w:r>
      <w:r>
        <w:rPr>
          <w:rFonts w:hint="eastAsia" w:ascii="宋体" w:hAnsi="宋体" w:eastAsia="宋体" w:cs="宋体"/>
          <w:sz w:val="21"/>
          <w:szCs w:val="21"/>
          <w:lang w:val="en-US"/>
        </w:rPr>
        <w:t xml:space="preserve">支付合同价款的</w:t>
      </w: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val="en-US"/>
        </w:rPr>
        <w:t xml:space="preserve">0%的作为预付款，交货完毕并通过验收后</w:t>
      </w:r>
      <w:r>
        <w:rPr>
          <w:rFonts w:hint="eastAsia" w:ascii="宋体" w:hAnsi="宋体" w:eastAsia="宋体" w:cs="宋体"/>
          <w:sz w:val="21"/>
          <w:szCs w:val="21"/>
          <w:lang w:val="en-US" w:eastAsia="zh-CN"/>
        </w:rPr>
        <w:t xml:space="preserve">支付合同</w:t>
      </w:r>
      <w:r>
        <w:rPr>
          <w:rFonts w:hint="eastAsia" w:ascii="宋体" w:hAnsi="宋体" w:eastAsia="宋体" w:cs="宋体"/>
          <w:sz w:val="21"/>
          <w:szCs w:val="21"/>
          <w:lang w:val="en-US"/>
        </w:rPr>
        <w:t xml:space="preserve">价款</w:t>
      </w:r>
      <w:r>
        <w:rPr>
          <w:rFonts w:hint="eastAsia" w:ascii="宋体" w:hAnsi="宋体" w:eastAsia="宋体" w:cs="宋体"/>
          <w:sz w:val="21"/>
          <w:szCs w:val="21"/>
          <w:lang w:val="en-US" w:eastAsia="zh-CN"/>
        </w:rPr>
        <w:t xml:space="preserve">的95%，余款5%质保期满后付清</w:t>
      </w:r>
      <w:r>
        <w:rPr>
          <w:rFonts w:hint="eastAsia" w:ascii="宋体" w:hAnsi="宋体" w:eastAsia="宋体" w:cs="宋体"/>
          <w:sz w:val="21"/>
          <w:szCs w:val="21"/>
          <w:lang w:val="en-US"/>
        </w:rPr>
        <w:t xml:space="preserve">。如供应商交付的产品验收不合格，供应商应在15个日历日内完成整改，若整改后验收仍不合格的，采购人有权解除合同，并要求中标供应商全额退还首付款，同时追究其违约的法律责任 </w:t>
      </w:r>
      <w:r>
        <w:rPr>
          <w:rFonts w:hint="eastAsia" w:ascii="宋体" w:hAnsi="宋体" w:eastAsia="宋体" w:cs="宋体"/>
          <w:sz w:val="21"/>
          <w:szCs w:val="21"/>
          <w:lang w:val="en-US" w:eastAsia="zh-CN"/>
        </w:rPr>
        <w:t xml:space="preserve">。</w:t>
      </w:r>
      <w:r/>
    </w:p>
    <w:p>
      <w:pPr>
        <w:pStyle w:val="928"/>
        <w:jc w:val="left"/>
        <w:spacing w:line="360" w:lineRule="auto"/>
        <w:rPr>
          <w:rFonts w:ascii="宋体" w:hAnsi="宋体" w:eastAsia="宋体" w:cs="宋体"/>
          <w:b/>
          <w:bCs/>
          <w:sz w:val="21"/>
          <w:szCs w:val="21"/>
          <w:lang w:val="en-US"/>
        </w:rPr>
      </w:pPr>
      <w:r>
        <w:rPr>
          <w:rFonts w:hint="eastAsia" w:ascii="宋体" w:hAnsi="宋体" w:eastAsia="宋体" w:cs="宋体"/>
          <w:b/>
          <w:bCs/>
          <w:sz w:val="21"/>
          <w:szCs w:val="21"/>
          <w:lang w:val="en-US"/>
        </w:rPr>
        <w:t xml:space="preserve">第十二条 违约责任 </w:t>
      </w:r>
      <w:r/>
    </w:p>
    <w:p>
      <w:pPr>
        <w:pStyle w:val="928"/>
        <w:jc w:val="left"/>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1、甲方无正当理由拒收货物、拒付货物款的，由甲方向乙方偿付合同总价的5%违约金。 </w:t>
      </w:r>
      <w:r/>
    </w:p>
    <w:p>
      <w:pPr>
        <w:pStyle w:val="928"/>
        <w:jc w:val="left"/>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2、项目逾期交付的，乙方应向甲方按中标金额每日1%偿付逾期违约金。超过约定期限7天未交付的，视为乙方不能响应服务承诺要求，甲方有权立即解除合同，并收取相应逾期违约金。乙方在项目实施过程中所发生的一切费用自行承担。 </w:t>
      </w:r>
      <w:r/>
    </w:p>
    <w:p>
      <w:pPr>
        <w:pStyle w:val="928"/>
        <w:jc w:val="left"/>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3、如乙方不能交付货物、完成安装调试的，甲方有权扣留全部履约保证金；同时乙方应向甲方支付合同总价5%的违约金。 </w:t>
      </w:r>
      <w:r/>
    </w:p>
    <w:p>
      <w:pPr>
        <w:pStyle w:val="928"/>
        <w:jc w:val="left"/>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4、乙方所交付的货物品种、型号、规格不符合合同规定的，甲方有权拒收。甲方拒收的，乙方应向甲方支付货款总额5%的违约金。</w:t>
      </w:r>
      <w:r/>
    </w:p>
    <w:p>
      <w:pPr>
        <w:pStyle w:val="928"/>
        <w:jc w:val="left"/>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5、在乙方承诺的或国家规定的质量保证期内（取两者中最长的期限），如经乙方两次维修或更换，货物仍不能达到合同约定的质量标准 ，甲方有权退货，乙方应退回全部货款，并按第3款处理，同时，乙方还须赔偿甲方因此遭受的损失。 </w:t>
      </w:r>
      <w:r/>
    </w:p>
    <w:p>
      <w:pPr>
        <w:pStyle w:val="928"/>
        <w:jc w:val="left"/>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6、乙方未按本合同第九条的规定向甲方交付履约保证金的，应按应交付履约保证金的100%向甲方支付违约金，该违约金的支付不影响乙方应承担的其他违约责任。</w:t>
      </w:r>
      <w:r/>
    </w:p>
    <w:p>
      <w:pPr>
        <w:pStyle w:val="928"/>
        <w:jc w:val="left"/>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7、乙方未按本合同的规定和“服务承诺”提供伴随服务/售后服务的，应按合同总价款的5%向甲方承担违约责任。 </w:t>
      </w:r>
      <w:r/>
    </w:p>
    <w:p>
      <w:pPr>
        <w:pStyle w:val="928"/>
        <w:jc w:val="left"/>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8、乙方在承担上述一项或多项违约责任后，仍应继续履行合同规定的义务（甲方解除合同的除外）。甲方未能及时追究乙方的任何一项违约责任并不表明甲方放弃追究乙方该项或其他违约责任。 </w:t>
      </w:r>
      <w:r/>
    </w:p>
    <w:p>
      <w:pPr>
        <w:pStyle w:val="928"/>
        <w:jc w:val="left"/>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9、乙方投标（响应）属虚假承诺，或经权威部门检测提供的货物不能满足投标（响应）文件要求，或是由于乙方的过错造成合同无法继续履行的，乙方履约保证金不予退还外，还应向甲方支付30%赔偿金。 </w:t>
      </w:r>
      <w:r/>
    </w:p>
    <w:p>
      <w:pPr>
        <w:pStyle w:val="928"/>
        <w:jc w:val="left"/>
        <w:spacing w:line="360" w:lineRule="auto"/>
        <w:rPr>
          <w:rFonts w:ascii="宋体" w:hAnsi="宋体" w:eastAsia="宋体" w:cs="宋体"/>
          <w:sz w:val="21"/>
          <w:szCs w:val="21"/>
          <w:u w:val="single"/>
          <w:lang w:val="en-US"/>
        </w:rPr>
      </w:pPr>
      <w:r>
        <w:rPr>
          <w:rFonts w:hint="eastAsia" w:ascii="宋体" w:hAnsi="宋体" w:eastAsia="宋体" w:cs="宋体"/>
          <w:sz w:val="21"/>
          <w:szCs w:val="21"/>
          <w:lang w:val="en-US"/>
        </w:rPr>
        <w:t xml:space="preserve">10、其他违约责任约定:</w:t>
      </w:r>
      <w:r>
        <w:rPr>
          <w:rFonts w:hint="eastAsia" w:ascii="宋体" w:hAnsi="宋体" w:eastAsia="宋体" w:cs="宋体"/>
          <w:sz w:val="21"/>
          <w:szCs w:val="21"/>
          <w:u w:val="single"/>
          <w:lang w:val="en-US"/>
        </w:rPr>
        <w:t xml:space="preserve">                    </w:t>
      </w:r>
      <w:r>
        <w:rPr>
          <w:rFonts w:hint="eastAsia" w:ascii="宋体" w:hAnsi="宋体" w:eastAsia="宋体" w:cs="宋体"/>
          <w:sz w:val="21"/>
          <w:szCs w:val="21"/>
          <w:lang w:val="en-US"/>
        </w:rPr>
        <w:t xml:space="preserve"> </w:t>
      </w:r>
      <w:r/>
    </w:p>
    <w:p>
      <w:pPr>
        <w:pStyle w:val="928"/>
        <w:jc w:val="left"/>
        <w:spacing w:line="360" w:lineRule="auto"/>
        <w:rPr>
          <w:rFonts w:ascii="宋体" w:hAnsi="宋体" w:eastAsia="宋体" w:cs="宋体"/>
          <w:b/>
          <w:bCs/>
          <w:sz w:val="21"/>
          <w:szCs w:val="21"/>
          <w:lang w:val="en-US"/>
        </w:rPr>
      </w:pPr>
      <w:r>
        <w:rPr>
          <w:rFonts w:hint="eastAsia" w:ascii="宋体" w:hAnsi="宋体" w:eastAsia="宋体" w:cs="宋体"/>
          <w:b/>
          <w:bCs/>
          <w:sz w:val="21"/>
          <w:szCs w:val="21"/>
          <w:lang w:val="en-US"/>
        </w:rPr>
        <w:t xml:space="preserve">第十三条 合同的变更和终止 </w:t>
      </w:r>
      <w:r/>
    </w:p>
    <w:p>
      <w:pPr>
        <w:pStyle w:val="928"/>
        <w:jc w:val="left"/>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1、除《政府采购法》第50条第二款规定的情形外，本合同一经签订，甲乙双方不得擅自变更、中止或终止合同。 </w:t>
      </w:r>
      <w:r/>
    </w:p>
    <w:p>
      <w:pPr>
        <w:pStyle w:val="928"/>
        <w:jc w:val="left"/>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2、除发生法律规定的不能预见、不能避免并不能克服的客观情况外，甲乙双方不得放弃或拒绝履行合同。乙方放弃或拒绝履行合同，履约保证金不予退还，并按规定接受相关部门的处罚。 </w:t>
      </w:r>
      <w:r/>
    </w:p>
    <w:p>
      <w:pPr>
        <w:pStyle w:val="928"/>
        <w:jc w:val="left"/>
        <w:spacing w:line="360" w:lineRule="auto"/>
        <w:rPr>
          <w:rFonts w:ascii="宋体" w:hAnsi="宋体" w:eastAsia="宋体" w:cs="宋体"/>
          <w:b/>
          <w:bCs/>
          <w:sz w:val="21"/>
          <w:szCs w:val="21"/>
          <w:lang w:val="en-US"/>
        </w:rPr>
      </w:pPr>
      <w:r>
        <w:rPr>
          <w:rFonts w:hint="eastAsia" w:ascii="宋体" w:hAnsi="宋体" w:eastAsia="宋体" w:cs="宋体"/>
          <w:b/>
          <w:bCs/>
          <w:sz w:val="21"/>
          <w:szCs w:val="21"/>
          <w:lang w:val="en-US"/>
        </w:rPr>
        <w:t xml:space="preserve">第十四条 合同的转让 </w:t>
      </w:r>
      <w:r/>
    </w:p>
    <w:p>
      <w:pPr>
        <w:pStyle w:val="928"/>
        <w:jc w:val="left"/>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乙方不得擅自部分或全部转让其应履行的合同义务。 </w:t>
      </w:r>
      <w:r/>
    </w:p>
    <w:p>
      <w:pPr>
        <w:pStyle w:val="928"/>
        <w:jc w:val="left"/>
        <w:spacing w:line="360" w:lineRule="auto"/>
        <w:rPr>
          <w:rFonts w:ascii="宋体" w:hAnsi="宋体" w:eastAsia="宋体" w:cs="宋体"/>
          <w:b/>
          <w:bCs/>
          <w:sz w:val="21"/>
          <w:szCs w:val="21"/>
          <w:lang w:val="en-US"/>
        </w:rPr>
      </w:pPr>
      <w:r>
        <w:rPr>
          <w:rFonts w:hint="eastAsia" w:ascii="宋体" w:hAnsi="宋体" w:eastAsia="宋体" w:cs="宋体"/>
          <w:b/>
          <w:bCs/>
          <w:sz w:val="21"/>
          <w:szCs w:val="21"/>
          <w:lang w:val="en-US"/>
        </w:rPr>
        <w:t xml:space="preserve">第十五条 争议的解决 </w:t>
      </w:r>
      <w:r/>
    </w:p>
    <w:p>
      <w:pPr>
        <w:pStyle w:val="928"/>
        <w:jc w:val="left"/>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1、因货物的质量问题发生争议的，应当邀请国家认可的质量检测机构对货物质量进行鉴定。货物符合标准的，鉴定费由甲方承担；货物不符合质量标准的，鉴定费由乙方承担。 </w:t>
      </w:r>
      <w:r/>
    </w:p>
    <w:p>
      <w:pPr>
        <w:pStyle w:val="928"/>
        <w:jc w:val="left"/>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2、因履行本合同引起的或与本合同有关的争议，甲、乙双方应首先通过友好协商解决，如果协商不能解决争议，则采取以下第</w:t>
      </w:r>
      <w:r>
        <w:rPr>
          <w:rFonts w:hint="eastAsia" w:ascii="宋体" w:hAnsi="宋体" w:eastAsia="宋体" w:cs="宋体"/>
          <w:sz w:val="21"/>
          <w:szCs w:val="21"/>
          <w:u w:val="single"/>
          <w:lang w:val="en-US"/>
        </w:rPr>
        <w:t xml:space="preserve">（ ）</w:t>
      </w:r>
      <w:r>
        <w:rPr>
          <w:rFonts w:hint="eastAsia" w:ascii="宋体" w:hAnsi="宋体" w:eastAsia="宋体" w:cs="宋体"/>
          <w:sz w:val="21"/>
          <w:szCs w:val="21"/>
          <w:lang w:val="en-US"/>
        </w:rPr>
        <w:t xml:space="preserve">种方式解决争议： </w:t>
      </w:r>
      <w:r/>
    </w:p>
    <w:p>
      <w:pPr>
        <w:pStyle w:val="928"/>
        <w:jc w:val="left"/>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（1）向甲方所在地有管辖权的人民法院提起诉讼； </w:t>
      </w:r>
      <w:r/>
    </w:p>
    <w:p>
      <w:pPr>
        <w:pStyle w:val="928"/>
        <w:jc w:val="left"/>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（2）向南京仲裁委员会按其仲裁规则申请仲裁。 如没有约定，默认采取第2种方式解决争议。 </w:t>
      </w:r>
      <w:r/>
    </w:p>
    <w:p>
      <w:pPr>
        <w:pStyle w:val="928"/>
        <w:jc w:val="left"/>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3、在仲裁期间，本合同应继续履行。 </w:t>
      </w:r>
      <w:r/>
    </w:p>
    <w:p>
      <w:pPr>
        <w:pStyle w:val="928"/>
        <w:jc w:val="left"/>
        <w:spacing w:line="360" w:lineRule="auto"/>
        <w:rPr>
          <w:rFonts w:ascii="宋体" w:hAnsi="宋体" w:eastAsia="宋体" w:cs="宋体"/>
          <w:sz w:val="21"/>
          <w:szCs w:val="21"/>
          <w:lang w:val="en-US"/>
        </w:rPr>
      </w:pPr>
      <w:r>
        <w:rPr>
          <w:rFonts w:hint="eastAsia" w:ascii="宋体" w:hAnsi="宋体" w:eastAsia="宋体" w:cs="宋体"/>
          <w:b/>
          <w:bCs/>
          <w:sz w:val="21"/>
          <w:szCs w:val="21"/>
          <w:lang w:val="en-US"/>
        </w:rPr>
        <w:t xml:space="preserve">第十六条 诚实信用</w:t>
      </w:r>
      <w:r/>
    </w:p>
    <w:p>
      <w:pPr>
        <w:pStyle w:val="928"/>
        <w:jc w:val="left"/>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乙方应诚实信用，严格按照招标（采购）文件要求和投标（响应）承诺履行合同，不向甲方进行商业贿赂或者提供不正当利益。 </w:t>
      </w:r>
      <w:r/>
    </w:p>
    <w:p>
      <w:pPr>
        <w:pStyle w:val="928"/>
        <w:jc w:val="left"/>
        <w:spacing w:line="360" w:lineRule="auto"/>
        <w:rPr>
          <w:rFonts w:ascii="宋体" w:hAnsi="宋体" w:eastAsia="宋体" w:cs="宋体"/>
          <w:b/>
          <w:bCs/>
          <w:sz w:val="21"/>
          <w:szCs w:val="21"/>
          <w:lang w:val="en-US"/>
        </w:rPr>
      </w:pPr>
      <w:r>
        <w:rPr>
          <w:rFonts w:hint="eastAsia" w:ascii="宋体" w:hAnsi="宋体" w:eastAsia="宋体" w:cs="宋体"/>
          <w:b/>
          <w:bCs/>
          <w:sz w:val="21"/>
          <w:szCs w:val="21"/>
          <w:lang w:val="en-US"/>
        </w:rPr>
        <w:t xml:space="preserve">第十七条 合同生效及其他 </w:t>
      </w:r>
      <w:r/>
    </w:p>
    <w:p>
      <w:pPr>
        <w:pStyle w:val="928"/>
        <w:jc w:val="left"/>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1、本合同自签订之日起生效。 </w:t>
      </w:r>
      <w:r/>
    </w:p>
    <w:p>
      <w:pPr>
        <w:pStyle w:val="928"/>
        <w:jc w:val="left"/>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2、本合同一式四份，甲乙双方各执二份。 </w:t>
      </w:r>
      <w:r/>
    </w:p>
    <w:p>
      <w:pPr>
        <w:pStyle w:val="928"/>
        <w:jc w:val="left"/>
        <w:spacing w:line="360" w:lineRule="auto"/>
        <w:rPr>
          <w:rFonts w:ascii="宋体" w:hAnsi="宋体" w:eastAsia="宋体" w:cs="宋体"/>
          <w:sz w:val="21"/>
          <w:szCs w:val="21"/>
        </w:rPr>
      </w:pPr>
      <w:r>
        <w:rPr>
          <w:rFonts w:hint="eastAsia" w:ascii="宋体" w:hAnsi="宋体" w:eastAsia="宋体" w:cs="宋体"/>
          <w:sz w:val="21"/>
          <w:szCs w:val="21"/>
          <w:lang w:val="en-US"/>
        </w:rPr>
        <w:t xml:space="preserve">3、本合同应按照中华人民共和国的现行法律进行解释。</w:t>
      </w:r>
      <w:r/>
    </w:p>
    <w:tbl>
      <w:tblPr>
        <w:tblStyle w:val="687"/>
        <w:tblW w:w="9286" w:type="dxa"/>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s="宋体"/>
                <w:szCs w:val="21"/>
                <w:lang w:val="zh-CN"/>
              </w:rPr>
            </w:pPr>
            <w:r>
              <w:rPr>
                <w:rFonts w:hint="eastAsia" w:ascii="宋体" w:hAnsi="宋体" w:cs="宋体"/>
                <w:szCs w:val="21"/>
                <w:lang w:val="zh-CN"/>
              </w:rPr>
              <w:t xml:space="preserve">甲方（招标人）：（盖章）</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s="宋体"/>
                <w:szCs w:val="21"/>
                <w:lang w:val="zh-CN"/>
              </w:rPr>
            </w:pPr>
            <w:r>
              <w:rPr>
                <w:rFonts w:hint="eastAsia" w:ascii="宋体" w:hAnsi="宋体" w:cs="宋体"/>
                <w:szCs w:val="21"/>
                <w:lang w:val="zh-CN"/>
              </w:rPr>
              <w:t xml:space="preserve">乙方（投标人）：（盖章）</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s="宋体"/>
                <w:szCs w:val="21"/>
              </w:rPr>
            </w:pPr>
            <w:r>
              <w:rPr>
                <w:rFonts w:hint="eastAsia" w:ascii="宋体" w:hAnsi="宋体" w:cs="宋体"/>
                <w:szCs w:val="21"/>
                <w:lang w:val="zh-CN"/>
              </w:rPr>
              <w:t xml:space="preserve">代表人：</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s="宋体"/>
                <w:szCs w:val="21"/>
              </w:rPr>
            </w:pPr>
            <w:r>
              <w:rPr>
                <w:rFonts w:hint="eastAsia" w:ascii="宋体" w:hAnsi="宋体" w:cs="宋体"/>
                <w:szCs w:val="21"/>
                <w:lang w:val="zh-CN"/>
              </w:rPr>
              <w:t xml:space="preserve">代表人</w:t>
            </w:r>
            <w:r>
              <w:rPr>
                <w:rFonts w:hint="eastAsia" w:ascii="宋体" w:hAnsi="宋体" w:cs="宋体"/>
                <w:szCs w:val="21"/>
              </w:rPr>
              <w:t xml:space="preserve">：</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s="宋体"/>
                <w:szCs w:val="21"/>
              </w:rPr>
            </w:pPr>
            <w:r>
              <w:rPr>
                <w:rFonts w:hint="eastAsia" w:ascii="宋体" w:hAnsi="宋体" w:cs="宋体"/>
                <w:szCs w:val="21"/>
                <w:lang w:val="zh-CN"/>
              </w:rPr>
              <w:t xml:space="preserve">电话：</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s="宋体"/>
                <w:szCs w:val="21"/>
              </w:rPr>
            </w:pPr>
            <w:r>
              <w:rPr>
                <w:rFonts w:hint="eastAsia" w:ascii="宋体" w:hAnsi="宋体" w:cs="宋体"/>
                <w:szCs w:val="21"/>
                <w:lang w:val="zh-CN"/>
              </w:rPr>
              <w:t xml:space="preserve">电话：</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s="宋体"/>
                <w:szCs w:val="21"/>
              </w:rPr>
            </w:pPr>
            <w:r>
              <w:rPr>
                <w:rFonts w:hint="eastAsia" w:ascii="宋体" w:hAnsi="宋体" w:cs="宋体"/>
                <w:szCs w:val="21"/>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s="宋体"/>
                <w:szCs w:val="21"/>
              </w:rPr>
            </w:pPr>
            <w:r>
              <w:rPr>
                <w:rFonts w:hint="eastAsia" w:ascii="宋体" w:hAnsi="宋体" w:cs="宋体"/>
                <w:szCs w:val="21"/>
                <w:lang w:val="zh-CN"/>
              </w:rPr>
              <w:t xml:space="preserve">开户银行：</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s="宋体"/>
                <w:szCs w:val="21"/>
              </w:rPr>
            </w:pPr>
            <w:r>
              <w:rPr>
                <w:rFonts w:hint="eastAsia" w:ascii="宋体" w:hAnsi="宋体" w:cs="宋体"/>
                <w:szCs w:val="21"/>
                <w:lang w:val="zh-CN"/>
              </w:rPr>
              <w:t xml:space="preserve">账号：</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s="宋体"/>
                <w:szCs w:val="21"/>
                <w:lang w:val="zh-CN"/>
              </w:rPr>
            </w:pPr>
            <w:r>
              <w:rPr>
                <w:rFonts w:hint="eastAsia" w:ascii="宋体" w:hAnsi="宋体" w:cs="宋体"/>
                <w:szCs w:val="21"/>
                <w:lang w:val="zh-CN"/>
              </w:rPr>
              <w:t xml:space="preserve">账号：</w:t>
            </w:r>
            <w:r/>
          </w:p>
          <w:p>
            <w:pPr>
              <w:jc w:val="left"/>
              <w:spacing w:line="360" w:lineRule="auto"/>
              <w:widowControl/>
              <w:rPr>
                <w:rFonts w:ascii="宋体" w:hAnsi="宋体" w:cs="宋体"/>
                <w:szCs w:val="21"/>
                <w:lang w:val="zh-CN"/>
              </w:rPr>
            </w:pPr>
            <w:r>
              <w:rPr>
                <w:rFonts w:ascii="宋体" w:hAnsi="宋体" w:cs="宋体"/>
                <w:szCs w:val="21"/>
                <w:lang w:val="zh-CN"/>
              </w:rPr>
            </w:r>
            <w:r/>
          </w:p>
        </w:tc>
      </w:tr>
    </w:tbl>
    <w:p>
      <w:pPr>
        <w:rPr>
          <w:rFonts w:hint="eastAsia" w:ascii="宋体" w:hAnsi="宋体" w:eastAsia="宋体" w:cs="宋体"/>
          <w:sz w:val="36"/>
          <w:szCs w:val="36"/>
          <w:highlight w:val="none"/>
          <w:lang w:val="zh-CN"/>
        </w:rPr>
      </w:pPr>
      <w:r>
        <w:rPr>
          <w:rFonts w:hint="eastAsia" w:ascii="宋体" w:hAnsi="宋体" w:eastAsia="宋体" w:cs="宋体"/>
          <w:sz w:val="36"/>
          <w:szCs w:val="36"/>
          <w:highlight w:val="none"/>
          <w:lang w:val="zh-CN"/>
        </w:rPr>
        <w:br w:type="page" w:clear="all"/>
      </w:r>
      <w:r/>
    </w:p>
    <w:p>
      <w:pPr>
        <w:jc w:val="center"/>
        <w:spacing w:line="360" w:lineRule="auto"/>
        <w:rPr>
          <w:rFonts w:hint="eastAsia" w:ascii="宋体" w:hAnsi="宋体" w:eastAsia="宋体" w:cs="宋体"/>
          <w:sz w:val="36"/>
          <w:szCs w:val="36"/>
          <w:highlight w:val="none"/>
        </w:rPr>
        <w:outlineLvl w:val="0"/>
      </w:pPr>
      <w:r>
        <w:rPr>
          <w:rFonts w:hint="eastAsia" w:ascii="宋体" w:hAnsi="宋体" w:eastAsia="宋体" w:cs="宋体"/>
          <w:sz w:val="36"/>
          <w:szCs w:val="36"/>
          <w:highlight w:val="none"/>
          <w:lang w:val="zh-CN"/>
        </w:rPr>
        <w:t xml:space="preserve">第六章 </w:t>
      </w:r>
      <w:r>
        <w:rPr>
          <w:rFonts w:hint="eastAsia" w:ascii="宋体" w:hAnsi="宋体" w:eastAsia="宋体" w:cs="宋体"/>
          <w:sz w:val="36"/>
          <w:szCs w:val="36"/>
          <w:highlight w:val="none"/>
        </w:rPr>
        <w:t xml:space="preserve"> </w:t>
      </w:r>
      <w:r>
        <w:rPr>
          <w:rFonts w:hint="eastAsia" w:ascii="宋体" w:hAnsi="宋体" w:eastAsia="宋体" w:cs="宋体"/>
          <w:sz w:val="36"/>
          <w:szCs w:val="36"/>
          <w:highlight w:val="none"/>
          <w:lang w:val="zh-CN"/>
        </w:rPr>
        <w:t xml:space="preserve">投标文件参考格式及附件</w:t>
      </w:r>
      <w:bookmarkEnd w:id="19"/>
      <w:r/>
      <w:r/>
    </w:p>
    <w:p>
      <w:pPr>
        <w:ind w:left="560"/>
        <w:jc w:val="center"/>
        <w:spacing w:line="240" w:lineRule="atLeast"/>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p>
      <w:pPr>
        <w:jc w:val="center"/>
        <w:rPr>
          <w:rFonts w:hint="eastAsia" w:ascii="宋体" w:hAnsi="宋体" w:eastAsia="宋体" w:cs="宋体"/>
          <w:b/>
          <w:sz w:val="72"/>
          <w:highlight w:val="none"/>
        </w:rPr>
      </w:pPr>
      <w:r>
        <w:rPr>
          <w:rFonts w:hint="eastAsia" w:ascii="宋体" w:hAnsi="宋体" w:eastAsia="宋体" w:cs="宋体"/>
          <w:b/>
          <w:sz w:val="72"/>
          <w:highlight w:val="none"/>
        </w:rPr>
      </w:r>
      <w:r/>
    </w:p>
    <w:p>
      <w:pPr>
        <w:jc w:val="center"/>
        <w:rPr>
          <w:rFonts w:hint="eastAsia" w:ascii="宋体" w:hAnsi="宋体" w:eastAsia="宋体" w:cs="宋体"/>
          <w:b/>
          <w:sz w:val="72"/>
          <w:highlight w:val="none"/>
        </w:rPr>
      </w:pPr>
      <w:r>
        <w:rPr>
          <w:rFonts w:hint="eastAsia" w:ascii="宋体" w:hAnsi="宋体" w:eastAsia="宋体" w:cs="宋体"/>
          <w:b/>
          <w:sz w:val="72"/>
          <w:highlight w:val="none"/>
        </w:rPr>
        <w:t xml:space="preserve">投  标  文  件</w:t>
      </w:r>
      <w:r/>
    </w:p>
    <w:p>
      <w:pPr>
        <w:ind w:firstLine="3708"/>
        <w:rPr>
          <w:rFonts w:hint="eastAsia" w:ascii="宋体" w:hAnsi="宋体" w:eastAsia="宋体" w:cs="宋体"/>
          <w:b/>
          <w:sz w:val="36"/>
          <w:highlight w:val="none"/>
        </w:rPr>
      </w:pPr>
      <w:r>
        <w:rPr>
          <w:rFonts w:hint="eastAsia" w:ascii="宋体" w:hAnsi="宋体" w:eastAsia="宋体" w:cs="宋体"/>
          <w:b/>
          <w:sz w:val="36"/>
          <w:highlight w:val="none"/>
        </w:rPr>
      </w:r>
      <w:r/>
    </w:p>
    <w:p>
      <w:pPr>
        <w:jc w:val="center"/>
        <w:rPr>
          <w:rFonts w:hint="eastAsia" w:ascii="宋体" w:hAnsi="宋体" w:eastAsia="宋体" w:cs="宋体"/>
          <w:b/>
          <w:sz w:val="72"/>
          <w:highlight w:val="none"/>
        </w:rPr>
      </w:pPr>
      <w:r>
        <w:rPr>
          <w:rFonts w:hint="eastAsia" w:ascii="宋体" w:hAnsi="宋体" w:eastAsia="宋体" w:cs="宋体"/>
          <w:b/>
          <w:sz w:val="72"/>
          <w:highlight w:val="none"/>
        </w:rPr>
      </w:r>
      <w:r/>
    </w:p>
    <w:p>
      <w:pPr>
        <w:jc w:val="center"/>
        <w:rPr>
          <w:rFonts w:hint="eastAsia" w:ascii="宋体" w:hAnsi="宋体" w:eastAsia="宋体" w:cs="宋体"/>
          <w:b/>
          <w:sz w:val="36"/>
          <w:highlight w:val="none"/>
        </w:rPr>
      </w:pPr>
      <w:r>
        <w:rPr>
          <w:rFonts w:hint="eastAsia" w:ascii="宋体" w:hAnsi="宋体" w:eastAsia="宋体" w:cs="宋体"/>
          <w:b/>
          <w:sz w:val="36"/>
          <w:highlight w:val="none"/>
        </w:rPr>
      </w:r>
      <w:r/>
    </w:p>
    <w:p>
      <w:pPr>
        <w:jc w:val="center"/>
        <w:rPr>
          <w:rFonts w:hint="eastAsia" w:ascii="宋体" w:hAnsi="宋体" w:eastAsia="宋体" w:cs="宋体"/>
          <w:b/>
          <w:sz w:val="36"/>
          <w:highlight w:val="none"/>
        </w:rPr>
      </w:pPr>
      <w:r>
        <w:rPr>
          <w:rFonts w:hint="eastAsia" w:ascii="宋体" w:hAnsi="宋体" w:eastAsia="宋体" w:cs="宋体"/>
          <w:b/>
          <w:sz w:val="36"/>
          <w:highlight w:val="none"/>
        </w:rPr>
      </w:r>
      <w:r/>
    </w:p>
    <w:p>
      <w:pPr>
        <w:jc w:val="center"/>
        <w:rPr>
          <w:rFonts w:hint="eastAsia" w:ascii="宋体" w:hAnsi="宋体" w:eastAsia="宋体" w:cs="宋体"/>
          <w:b/>
          <w:sz w:val="36"/>
          <w:highlight w:val="none"/>
        </w:rPr>
      </w:pPr>
      <w:r>
        <w:rPr>
          <w:rFonts w:hint="eastAsia" w:ascii="宋体" w:hAnsi="宋体" w:eastAsia="宋体" w:cs="宋体"/>
          <w:b/>
          <w:sz w:val="36"/>
          <w:highlight w:val="none"/>
        </w:rPr>
      </w:r>
      <w:r/>
    </w:p>
    <w:p>
      <w:pPr>
        <w:ind w:firstLine="1084"/>
        <w:rPr>
          <w:rFonts w:hint="eastAsia" w:ascii="宋体" w:hAnsi="宋体" w:eastAsia="宋体" w:cs="宋体"/>
          <w:b/>
          <w:bCs/>
          <w:sz w:val="36"/>
          <w:szCs w:val="36"/>
          <w:highlight w:val="none"/>
          <w:u w:val="single"/>
        </w:rPr>
      </w:pPr>
      <w:r>
        <w:rPr>
          <w:rFonts w:hint="eastAsia" w:ascii="宋体" w:hAnsi="宋体" w:eastAsia="宋体" w:cs="宋体"/>
          <w:b/>
          <w:sz w:val="36"/>
          <w:highlight w:val="none"/>
        </w:rPr>
        <w:t xml:space="preserve">项 目 名 称：</w:t>
      </w:r>
      <w:r>
        <w:rPr>
          <w:rFonts w:hint="eastAsia" w:ascii="宋体" w:hAnsi="宋体" w:eastAsia="宋体" w:cs="宋体"/>
          <w:b/>
          <w:sz w:val="36"/>
          <w:highlight w:val="none"/>
          <w:u w:val="single"/>
        </w:rPr>
        <w:t xml:space="preserve">                </w:t>
      </w:r>
      <w:r/>
    </w:p>
    <w:p>
      <w:pPr>
        <w:ind w:firstLine="1084"/>
        <w:rPr>
          <w:rFonts w:hint="eastAsia" w:ascii="宋体" w:hAnsi="宋体" w:eastAsia="宋体" w:cs="宋体"/>
          <w:b/>
          <w:sz w:val="36"/>
          <w:highlight w:val="none"/>
        </w:rPr>
      </w:pPr>
      <w:r>
        <w:rPr>
          <w:rFonts w:hint="eastAsia" w:ascii="宋体" w:hAnsi="宋体" w:eastAsia="宋体" w:cs="宋体"/>
          <w:b/>
          <w:sz w:val="36"/>
          <w:highlight w:val="none"/>
        </w:rPr>
        <w:t xml:space="preserve">项 目 编 号：</w:t>
      </w:r>
      <w:r/>
    </w:p>
    <w:p>
      <w:pPr>
        <w:ind w:firstLine="1084"/>
        <w:rPr>
          <w:rFonts w:hint="eastAsia" w:ascii="宋体" w:hAnsi="宋体" w:eastAsia="宋体" w:cs="宋体"/>
          <w:bCs/>
          <w:szCs w:val="36"/>
          <w:highlight w:val="none"/>
        </w:rPr>
      </w:pPr>
      <w:r>
        <w:rPr>
          <w:rFonts w:hint="eastAsia" w:ascii="宋体" w:hAnsi="宋体" w:eastAsia="宋体" w:cs="宋体"/>
          <w:b/>
          <w:sz w:val="36"/>
          <w:highlight w:val="none"/>
          <w:lang w:val="en-US" w:eastAsia="zh-CN"/>
        </w:rPr>
        <w:t xml:space="preserve">采 购 包 号：</w:t>
      </w:r>
      <w:r>
        <w:rPr>
          <w:rFonts w:hint="eastAsia" w:ascii="宋体" w:hAnsi="宋体" w:eastAsia="宋体" w:cs="宋体"/>
          <w:b/>
          <w:sz w:val="36"/>
          <w:highlight w:val="none"/>
          <w:u w:val="single"/>
        </w:rPr>
        <w:t xml:space="preserve">                </w:t>
      </w:r>
      <w:r/>
    </w:p>
    <w:p>
      <w:pPr>
        <w:rPr>
          <w:rFonts w:hint="eastAsia" w:ascii="宋体" w:hAnsi="宋体" w:eastAsia="宋体" w:cs="宋体"/>
          <w:b/>
          <w:sz w:val="36"/>
          <w:highlight w:val="none"/>
          <w:u w:val="single"/>
        </w:rPr>
      </w:pPr>
      <w:r>
        <w:rPr>
          <w:rFonts w:hint="eastAsia" w:ascii="宋体" w:hAnsi="宋体" w:eastAsia="宋体" w:cs="宋体"/>
          <w:b/>
          <w:sz w:val="36"/>
          <w:highlight w:val="none"/>
        </w:rPr>
        <w:t xml:space="preserve">      投标人名称 ：</w:t>
      </w:r>
      <w:r>
        <w:rPr>
          <w:rFonts w:hint="eastAsia" w:ascii="宋体" w:hAnsi="宋体" w:eastAsia="宋体" w:cs="宋体"/>
          <w:b/>
          <w:sz w:val="36"/>
          <w:highlight w:val="none"/>
          <w:u w:val="single"/>
        </w:rPr>
        <w:t xml:space="preserve">（加盖电子公章）</w:t>
      </w:r>
      <w:r/>
    </w:p>
    <w:p>
      <w:pPr>
        <w:rPr>
          <w:rFonts w:hint="eastAsia" w:ascii="宋体" w:hAnsi="宋体" w:eastAsia="宋体" w:cs="宋体"/>
          <w:b/>
          <w:sz w:val="36"/>
          <w:highlight w:val="none"/>
        </w:rPr>
      </w:pPr>
      <w:r>
        <w:rPr>
          <w:rFonts w:hint="eastAsia" w:ascii="宋体" w:hAnsi="宋体" w:eastAsia="宋体" w:cs="宋体"/>
          <w:b/>
          <w:sz w:val="36"/>
          <w:highlight w:val="none"/>
        </w:rPr>
        <w:t xml:space="preserve">      日      期 ：</w:t>
      </w:r>
      <w:r>
        <w:rPr>
          <w:rFonts w:hint="eastAsia" w:ascii="宋体" w:hAnsi="宋体" w:eastAsia="宋体" w:cs="宋体"/>
          <w:b/>
          <w:sz w:val="36"/>
          <w:highlight w:val="none"/>
          <w:u w:val="single"/>
        </w:rPr>
        <w:t xml:space="preserve">                </w:t>
      </w:r>
      <w:r/>
    </w:p>
    <w:p>
      <w:pPr>
        <w:jc w:val="center"/>
        <w:rPr>
          <w:rFonts w:hint="eastAsia" w:ascii="宋体" w:hAnsi="宋体" w:eastAsia="宋体" w:cs="宋体"/>
          <w:b/>
          <w:bCs/>
          <w:sz w:val="44"/>
          <w:highlight w:val="none"/>
        </w:rPr>
      </w:pPr>
      <w:r>
        <w:rPr>
          <w:rFonts w:hint="eastAsia" w:ascii="宋体" w:hAnsi="宋体" w:eastAsia="宋体" w:cs="宋体"/>
          <w:b/>
          <w:bCs/>
          <w:sz w:val="44"/>
          <w:highlight w:val="none"/>
        </w:rPr>
      </w:r>
      <w:r/>
    </w:p>
    <w:p>
      <w:pPr>
        <w:rPr>
          <w:rFonts w:hint="eastAsia" w:ascii="宋体" w:hAnsi="宋体" w:eastAsia="宋体" w:cs="宋体"/>
          <w:b/>
          <w:bCs/>
          <w:sz w:val="24"/>
          <w:highlight w:val="none"/>
        </w:rPr>
      </w:pPr>
      <w:r/>
      <w:bookmarkStart w:id="20" w:name="_Toc405408732"/>
      <w:r>
        <w:rPr>
          <w:rFonts w:hint="eastAsia" w:ascii="宋体" w:hAnsi="宋体" w:eastAsia="宋体" w:cs="宋体"/>
          <w:b/>
          <w:bCs/>
          <w:sz w:val="24"/>
          <w:highlight w:val="none"/>
        </w:rPr>
        <w:t xml:space="preserve"> </w:t>
      </w:r>
      <w:r/>
    </w:p>
    <w:p>
      <w:pPr>
        <w:ind w:firstLine="420"/>
        <w:spacing w:line="440" w:lineRule="exact"/>
        <w:rPr>
          <w:rFonts w:hint="eastAsia" w:ascii="宋体" w:hAnsi="宋体" w:eastAsia="宋体" w:cs="宋体"/>
          <w:highlight w:val="none"/>
        </w:rPr>
      </w:pPr>
      <w:r>
        <w:rPr>
          <w:rFonts w:hint="eastAsia" w:ascii="宋体" w:hAnsi="宋体" w:eastAsia="宋体" w:cs="宋体"/>
          <w:highlight w:val="none"/>
        </w:rPr>
      </w:r>
      <w:r/>
    </w:p>
    <w:p>
      <w:pPr>
        <w:ind w:firstLine="420"/>
        <w:spacing w:line="440" w:lineRule="exact"/>
        <w:rPr>
          <w:rFonts w:hint="eastAsia" w:ascii="宋体" w:hAnsi="宋体" w:eastAsia="宋体" w:cs="宋体"/>
          <w:highlight w:val="none"/>
        </w:rPr>
      </w:pPr>
      <w:r>
        <w:rPr>
          <w:rFonts w:hint="eastAsia" w:ascii="宋体" w:hAnsi="宋体" w:eastAsia="宋体" w:cs="宋体"/>
          <w:highlight w:val="none"/>
        </w:rPr>
      </w:r>
      <w:r/>
    </w:p>
    <w:p>
      <w:pPr>
        <w:jc w:val="both"/>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6"/>
          <w:highlight w:val="none"/>
        </w:rPr>
        <w:br w:type="page" w:clear="all"/>
      </w:r>
      <w:bookmarkEnd w:id="20"/>
      <w:r>
        <w:rPr>
          <w:rFonts w:hint="eastAsia" w:ascii="宋体" w:hAnsi="宋体" w:eastAsia="宋体" w:cs="宋体"/>
          <w:color w:val="000000"/>
          <w:sz w:val="24"/>
          <w:highlight w:val="none"/>
        </w:rPr>
        <w:t xml:space="preserve">附件一：投标申请及申明</w:t>
      </w:r>
      <w:r/>
    </w:p>
    <w:p>
      <w:pPr>
        <w:ind w:firstLine="3600"/>
        <w:spacing w:line="400" w:lineRule="exac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投标申请及申明</w:t>
      </w:r>
      <w:r/>
    </w:p>
    <w:p>
      <w:pPr>
        <w:ind w:firstLine="420"/>
        <w:spacing w:line="400" w:lineRule="exac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致：</w:t>
      </w:r>
      <w:r>
        <w:rPr>
          <w:rFonts w:hint="eastAsia" w:ascii="宋体" w:hAnsi="宋体" w:eastAsia="宋体" w:cs="宋体"/>
          <w:color w:val="000000"/>
          <w:highlight w:val="none"/>
          <w:lang w:eastAsia="zh-CN"/>
        </w:rPr>
        <w:t xml:space="preserve">南京溧水经济开发区管理委员会</w:t>
      </w:r>
      <w:r>
        <w:rPr>
          <w:rFonts w:hint="eastAsia" w:ascii="宋体" w:hAnsi="宋体" w:eastAsia="宋体" w:cs="宋体"/>
          <w:color w:val="000000"/>
          <w:highlight w:val="none"/>
        </w:rPr>
        <w:t xml:space="preserve"> </w:t>
      </w:r>
      <w:r/>
    </w:p>
    <w:p>
      <w:pPr>
        <w:ind w:firstLine="420"/>
        <w:spacing w:line="400" w:lineRule="exac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根据贵方</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（项目名称）</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（项目编号）招标公告，正式授权下述签字人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（姓名和职务）代表供应商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（供应商名称），提交投标文件。</w:t>
      </w:r>
      <w:r/>
    </w:p>
    <w:p>
      <w:pPr>
        <w:ind w:firstLine="420"/>
        <w:spacing w:line="400" w:lineRule="exac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据此函，签字人兹宣布声明和承诺如下：</w:t>
      </w:r>
      <w:r/>
    </w:p>
    <w:p>
      <w:pPr>
        <w:ind w:firstLine="420"/>
        <w:spacing w:line="400" w:lineRule="exac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1、</w:t>
      </w:r>
      <w:r>
        <w:rPr>
          <w:rFonts w:hint="eastAsia" w:ascii="宋体" w:hAnsi="宋体" w:eastAsia="宋体" w:cs="宋体"/>
          <w:b/>
          <w:color w:val="000000"/>
          <w:highlight w:val="none"/>
        </w:rPr>
        <w:t xml:space="preserve">我们的资格条件完全符合政府采购法和本次招标要求</w:t>
      </w:r>
      <w:r>
        <w:rPr>
          <w:rFonts w:hint="eastAsia" w:ascii="宋体" w:hAnsi="宋体" w:eastAsia="宋体" w:cs="宋体"/>
          <w:color w:val="000000"/>
          <w:highlight w:val="none"/>
        </w:rPr>
        <w:t xml:space="preserve">，我们同意并向贵方提供了与投标有关的所有证据和资料。</w:t>
      </w:r>
      <w:r/>
    </w:p>
    <w:p>
      <w:pPr>
        <w:ind w:firstLine="420"/>
        <w:spacing w:line="400" w:lineRule="exac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2、按招标要求，我们的投标总报价为（大写）</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元人民币。所投</w:t>
      </w:r>
      <w:r>
        <w:rPr>
          <w:rFonts w:hint="eastAsia" w:ascii="宋体" w:hAnsi="宋体" w:eastAsia="宋体" w:cs="宋体"/>
          <w:color w:val="000000"/>
          <w:highlight w:val="none"/>
          <w:lang w:eastAsia="zh-CN"/>
        </w:rPr>
        <w:t xml:space="preserve">核心</w:t>
      </w:r>
      <w:r>
        <w:rPr>
          <w:rFonts w:hint="eastAsia" w:ascii="宋体" w:hAnsi="宋体" w:eastAsia="宋体" w:cs="宋体"/>
          <w:color w:val="000000"/>
          <w:highlight w:val="none"/>
        </w:rPr>
        <w:t xml:space="preserve">产品品牌为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 </w:t>
      </w:r>
      <w:r/>
    </w:p>
    <w:p>
      <w:pPr>
        <w:ind w:firstLine="420"/>
        <w:spacing w:line="400" w:lineRule="exac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3、</w:t>
      </w:r>
      <w:r>
        <w:rPr>
          <w:rFonts w:hint="eastAsia" w:ascii="宋体" w:hAnsi="宋体" w:eastAsia="宋体" w:cs="宋体"/>
          <w:color w:val="000000"/>
          <w:highlight w:val="none"/>
          <w:lang w:eastAsia="zh-CN"/>
        </w:rPr>
        <w:t xml:space="preserve">合同履约期限</w:t>
      </w:r>
      <w:r>
        <w:rPr>
          <w:rFonts w:hint="eastAsia" w:ascii="宋体" w:hAnsi="宋体" w:eastAsia="宋体" w:cs="宋体"/>
          <w:color w:val="000000"/>
          <w:highlight w:val="none"/>
        </w:rPr>
        <w:t xml:space="preserve">：</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w:t>
      </w:r>
      <w:r/>
    </w:p>
    <w:p>
      <w:pPr>
        <w:ind w:firstLine="420"/>
        <w:spacing w:line="400" w:lineRule="exac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、我们已详细审核全部招标文件及其有效补充文件，我们放弃对招标文件任何误解的权利，提交投标文件后，</w:t>
      </w:r>
      <w:r>
        <w:rPr>
          <w:rFonts w:hint="eastAsia" w:ascii="宋体" w:hAnsi="宋体" w:eastAsia="宋体" w:cs="宋体"/>
          <w:b/>
          <w:color w:val="000000"/>
          <w:highlight w:val="none"/>
        </w:rPr>
        <w:t xml:space="preserve">不对招标文件本身提出质疑。</w:t>
      </w:r>
      <w:r/>
    </w:p>
    <w:p>
      <w:pPr>
        <w:ind w:firstLine="420"/>
        <w:spacing w:line="400" w:lineRule="exac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rPr>
        <w:t xml:space="preserve">、我们同意从规定的开标日期起遵循本投标文件，并在规定的投标有效期期满之前均具有约束力。</w:t>
      </w:r>
      <w:r/>
    </w:p>
    <w:p>
      <w:pPr>
        <w:ind w:firstLine="420"/>
        <w:spacing w:line="400" w:lineRule="exac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、投标截止时间结束后参加投标的供应商不足三家的，或在评标期间出现符合专业条件的供应商或者对招标文件作出实质响应的供应商不足三家情形的，我们酌情决定是否参加贵方组织的其他采购方式采购。</w:t>
      </w:r>
      <w:r/>
    </w:p>
    <w:p>
      <w:pPr>
        <w:ind w:firstLine="420"/>
        <w:spacing w:line="400" w:lineRule="exac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val="en-US" w:eastAsia="zh-CN"/>
        </w:rPr>
        <w:t xml:space="preserve">7</w:t>
      </w:r>
      <w:r>
        <w:rPr>
          <w:rFonts w:hint="eastAsia" w:ascii="宋体" w:hAnsi="宋体" w:eastAsia="宋体" w:cs="宋体"/>
          <w:color w:val="000000"/>
          <w:highlight w:val="none"/>
        </w:rPr>
        <w:t xml:space="preserve">、一旦我方中标，我方将根据招标文件的规定严格履行合同，并保证于承诺的时间完成项目的启动、实施等工作，及时交付采购人验收、使用。</w:t>
      </w:r>
      <w:r/>
    </w:p>
    <w:p>
      <w:pPr>
        <w:ind w:firstLine="420"/>
        <w:spacing w:line="400" w:lineRule="exac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val="en-US" w:eastAsia="zh-CN"/>
        </w:rPr>
        <w:t xml:space="preserve">8</w:t>
      </w:r>
      <w:r>
        <w:rPr>
          <w:rFonts w:hint="eastAsia" w:ascii="宋体" w:hAnsi="宋体" w:eastAsia="宋体" w:cs="宋体"/>
          <w:color w:val="000000"/>
          <w:highlight w:val="none"/>
        </w:rPr>
        <w:t xml:space="preserve">、我方决不提供虚假材料谋取中标、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val="en-US" w:eastAsia="zh-CN"/>
        </w:rPr>
        <w:t xml:space="preserve">9</w:t>
      </w:r>
      <w:r>
        <w:rPr>
          <w:rFonts w:hint="eastAsia" w:ascii="宋体" w:hAnsi="宋体" w:eastAsia="宋体" w:cs="宋体"/>
          <w:color w:val="000000"/>
          <w:highlight w:val="none"/>
        </w:rPr>
        <w:t xml:space="preserve">、与本投标有关的正式联系方式为：</w:t>
      </w:r>
      <w:r/>
    </w:p>
    <w:p>
      <w:pPr>
        <w:ind w:firstLine="420"/>
        <w:spacing w:line="400" w:lineRule="exac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p>
    <w:p>
      <w:pPr>
        <w:ind w:firstLine="420"/>
        <w:spacing w:line="400" w:lineRule="exac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电话：</w:t>
      </w:r>
      <w:r>
        <w:rPr>
          <w:rFonts w:hint="eastAsia" w:ascii="宋体" w:hAnsi="宋体" w:eastAsia="宋体" w:cs="宋体"/>
          <w:color w:val="000000"/>
          <w:highlight w:val="none"/>
          <w:u w:val="single"/>
        </w:rPr>
        <w:t xml:space="preserve">                      </w:t>
      </w:r>
      <w:r/>
    </w:p>
    <w:p>
      <w:pPr>
        <w:ind w:firstLine="420"/>
        <w:spacing w:line="400" w:lineRule="exac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传真：</w:t>
      </w:r>
      <w:r>
        <w:rPr>
          <w:rFonts w:hint="eastAsia" w:ascii="宋体" w:hAnsi="宋体" w:eastAsia="宋体" w:cs="宋体"/>
          <w:color w:val="000000"/>
          <w:highlight w:val="none"/>
          <w:u w:val="single"/>
        </w:rPr>
        <w:t xml:space="preserve">                      </w:t>
      </w:r>
      <w:r/>
    </w:p>
    <w:p>
      <w:pPr>
        <w:ind w:firstLine="420"/>
        <w:spacing w:line="400" w:lineRule="exact"/>
        <w:rPr>
          <w:rFonts w:hint="eastAsia" w:ascii="宋体" w:hAnsi="宋体" w:eastAsia="宋体" w:cs="宋体"/>
          <w:color w:val="000000"/>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开户银行：</w:t>
      </w:r>
      <w:r>
        <w:rPr>
          <w:rFonts w:hint="eastAsia" w:ascii="宋体" w:hAnsi="宋体" w:eastAsia="宋体" w:cs="宋体"/>
          <w:color w:val="000000"/>
          <w:highlight w:val="none"/>
          <w:u w:val="single"/>
        </w:rPr>
        <w:t xml:space="preserve">                     </w:t>
      </w:r>
      <w:r/>
    </w:p>
    <w:p>
      <w:pPr>
        <w:ind w:firstLine="420"/>
        <w:spacing w:line="400" w:lineRule="exac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银行账号：</w:t>
      </w:r>
      <w:r>
        <w:rPr>
          <w:rFonts w:hint="eastAsia" w:ascii="宋体" w:hAnsi="宋体" w:eastAsia="宋体" w:cs="宋体"/>
          <w:color w:val="000000"/>
          <w:highlight w:val="none"/>
          <w:u w:val="single"/>
        </w:rPr>
        <w:t xml:space="preserve">                     </w:t>
      </w:r>
      <w:r/>
    </w:p>
    <w:p>
      <w:pPr>
        <w:ind w:firstLine="420"/>
        <w:spacing w:line="400" w:lineRule="exac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供应商授权代表姓名（签字）：</w:t>
      </w:r>
      <w:r>
        <w:rPr>
          <w:rFonts w:hint="eastAsia" w:ascii="宋体" w:hAnsi="宋体" w:eastAsia="宋体" w:cs="宋体"/>
          <w:color w:val="000000"/>
          <w:highlight w:val="none"/>
          <w:u w:val="single"/>
        </w:rPr>
        <w:t xml:space="preserve">          </w:t>
      </w:r>
      <w:r/>
    </w:p>
    <w:p>
      <w:pPr>
        <w:ind w:firstLine="420"/>
        <w:spacing w:line="400" w:lineRule="exac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供应商名称：</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（盖章）</w:t>
      </w:r>
      <w:r/>
    </w:p>
    <w:p>
      <w:pPr>
        <w:ind w:firstLine="420"/>
        <w:spacing w:line="400" w:lineRule="exac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日期：</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日</w:t>
      </w:r>
      <w:r>
        <w:rPr>
          <w:rFonts w:hint="eastAsia" w:ascii="宋体" w:hAnsi="宋体" w:eastAsia="宋体" w:cs="宋体"/>
          <w:color w:val="000000"/>
          <w:sz w:val="24"/>
          <w:highlight w:val="none"/>
        </w:rPr>
        <w:t xml:space="preserve"> </w:t>
      </w:r>
      <w:r/>
    </w:p>
    <w:p>
      <w:pPr>
        <w:spacing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附件二：法定代表人授权书格式</w:t>
      </w:r>
      <w:r/>
    </w:p>
    <w:p>
      <w:pPr>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p>
    <w:p>
      <w:pPr>
        <w:ind w:firstLine="720"/>
        <w:jc w:val="center"/>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法定代表人授权委托书</w:t>
      </w:r>
      <w:r/>
    </w:p>
    <w:p>
      <w:pPr>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南京溧水经济开发区管理委员会</w:t>
      </w:r>
      <w:r>
        <w:rPr>
          <w:rFonts w:hint="eastAsia" w:ascii="宋体" w:hAnsi="宋体" w:eastAsia="宋体" w:cs="宋体"/>
          <w:color w:val="000000"/>
          <w:highlight w:val="none"/>
        </w:rPr>
        <w:t xml:space="preserve">：</w:t>
      </w:r>
      <w:r/>
    </w:p>
    <w:p>
      <w:pPr>
        <w:ind w:firstLine="420"/>
        <w:spacing w:before="240" w:after="24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本授权书声明：注册于</w:t>
      </w:r>
      <w:r>
        <w:rPr>
          <w:rFonts w:hint="eastAsia" w:ascii="宋体" w:hAnsi="宋体" w:eastAsia="宋体" w:cs="宋体"/>
          <w:color w:val="000000"/>
          <w:highlight w:val="none"/>
          <w:u w:val="single"/>
        </w:rPr>
        <w:t xml:space="preserve">（投标供应商住址）</w:t>
      </w:r>
      <w:r>
        <w:rPr>
          <w:rFonts w:hint="eastAsia" w:ascii="宋体" w:hAnsi="宋体" w:eastAsia="宋体" w:cs="宋体"/>
          <w:color w:val="000000"/>
          <w:highlight w:val="none"/>
        </w:rPr>
        <w:t xml:space="preserve">的</w:t>
      </w:r>
      <w:r>
        <w:rPr>
          <w:rFonts w:hint="eastAsia" w:ascii="宋体" w:hAnsi="宋体" w:eastAsia="宋体" w:cs="宋体"/>
          <w:color w:val="000000"/>
          <w:highlight w:val="none"/>
          <w:u w:val="single"/>
        </w:rPr>
        <w:t xml:space="preserve">（投标供应商名称）</w:t>
      </w:r>
      <w:r>
        <w:rPr>
          <w:rFonts w:hint="eastAsia" w:ascii="宋体" w:hAnsi="宋体" w:eastAsia="宋体" w:cs="宋体"/>
          <w:color w:val="000000"/>
          <w:highlight w:val="none"/>
        </w:rPr>
        <w:t xml:space="preserve">法定代表人</w:t>
      </w:r>
      <w:r>
        <w:rPr>
          <w:rFonts w:hint="eastAsia" w:ascii="宋体" w:hAnsi="宋体" w:eastAsia="宋体" w:cs="宋体"/>
          <w:color w:val="000000"/>
          <w:highlight w:val="none"/>
          <w:u w:val="single"/>
        </w:rPr>
        <w:t xml:space="preserve">（法定代表人姓名、职务）</w:t>
      </w:r>
      <w:r>
        <w:rPr>
          <w:rFonts w:hint="eastAsia" w:ascii="宋体" w:hAnsi="宋体" w:eastAsia="宋体" w:cs="宋体"/>
          <w:color w:val="000000"/>
          <w:highlight w:val="none"/>
        </w:rPr>
        <w:t xml:space="preserve">代表本公司授权在下面签字的</w:t>
      </w:r>
      <w:r>
        <w:rPr>
          <w:rFonts w:hint="eastAsia" w:ascii="宋体" w:hAnsi="宋体" w:eastAsia="宋体" w:cs="宋体"/>
          <w:color w:val="000000"/>
          <w:highlight w:val="none"/>
          <w:u w:val="single"/>
        </w:rPr>
        <w:t xml:space="preserve">（投标供应商代表姓名、职务）</w:t>
      </w:r>
      <w:r>
        <w:rPr>
          <w:rFonts w:hint="eastAsia" w:ascii="宋体" w:hAnsi="宋体" w:eastAsia="宋体" w:cs="宋体"/>
          <w:color w:val="000000"/>
          <w:highlight w:val="none"/>
        </w:rPr>
        <w:t xml:space="preserve">为本公司的合法代理人，就贵方组织的</w:t>
      </w:r>
      <w:r>
        <w:rPr>
          <w:rFonts w:hint="eastAsia" w:ascii="宋体" w:hAnsi="宋体" w:eastAsia="宋体" w:cs="宋体"/>
          <w:color w:val="000000"/>
          <w:highlight w:val="none"/>
          <w:u w:val="single"/>
        </w:rPr>
        <w:t xml:space="preserve">（项目名称</w:t>
      </w:r>
      <w:r>
        <w:rPr>
          <w:rFonts w:hint="eastAsia" w:ascii="宋体" w:hAnsi="宋体" w:eastAsia="宋体" w:cs="宋体"/>
          <w:color w:val="000000"/>
          <w:highlight w:val="none"/>
          <w:u w:val="single"/>
          <w:lang w:eastAsia="zh-CN"/>
        </w:rPr>
        <w:t xml:space="preserve">：</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rFonts w:hint="eastAsia" w:ascii="宋体" w:hAnsi="宋体" w:eastAsia="宋体" w:cs="宋体"/>
          <w:color w:val="000000"/>
          <w:highlight w:val="none"/>
          <w:u w:val="single"/>
        </w:rPr>
        <w:t xml:space="preserve">（项目编号：  ）</w:t>
      </w:r>
      <w:r>
        <w:rPr>
          <w:rFonts w:hint="eastAsia" w:ascii="宋体" w:hAnsi="宋体" w:eastAsia="宋体" w:cs="宋体"/>
          <w:color w:val="000000"/>
          <w:highlight w:val="none"/>
        </w:rPr>
        <w:t xml:space="preserve">投标，以本公司名义处理一切与之有关的事务。</w:t>
      </w:r>
      <w:r/>
    </w:p>
    <w:p>
      <w:pPr>
        <w:ind w:firstLine="420"/>
        <w:spacing w:before="240" w:after="24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本授权书于</w:t>
      </w:r>
      <w:r>
        <w:rPr>
          <w:rFonts w:hint="eastAsia" w:ascii="宋体" w:hAnsi="宋体" w:eastAsia="宋体" w:cs="宋体"/>
          <w:color w:val="000000"/>
          <w:highlight w:val="none"/>
          <w:u w:val="single"/>
        </w:rPr>
        <w:t xml:space="preserve">   年   月   日</w:t>
      </w:r>
      <w:r>
        <w:rPr>
          <w:rFonts w:hint="eastAsia" w:ascii="宋体" w:hAnsi="宋体" w:eastAsia="宋体" w:cs="宋体"/>
          <w:color w:val="000000"/>
          <w:highlight w:val="none"/>
        </w:rPr>
        <w:t xml:space="preserve">签字生效，特此声明。</w:t>
      </w:r>
      <w:r/>
    </w:p>
    <w:p>
      <w:pPr>
        <w:ind w:firstLine="420"/>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p>
      <w:pPr>
        <w:ind w:firstLine="420"/>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供应商名称：（盖章）</w:t>
      </w:r>
      <w:r/>
    </w:p>
    <w:p>
      <w:pPr>
        <w:ind w:firstLine="420"/>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法定代表人签字或盖章：</w:t>
      </w:r>
      <w:r/>
    </w:p>
    <w:p>
      <w:pPr>
        <w:ind w:firstLine="420"/>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授权委托人签字：</w:t>
      </w:r>
      <w:r/>
    </w:p>
    <w:p>
      <w:pPr>
        <w:ind w:firstLine="420"/>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日期：   年   月   日</w:t>
      </w:r>
      <w:r/>
    </w:p>
    <w:p>
      <w:pPr>
        <w:ind w:firstLine="422"/>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rPr>
        <w:t xml:space="preserve">附：法定代表人、授权代表身份证复印件</w:t>
      </w:r>
      <w:r/>
    </w:p>
    <w:p>
      <w:pPr>
        <w:ind w:firstLine="422"/>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p>
    <w:p>
      <w:pPr>
        <w:ind w:firstLine="422"/>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p>
    <w:p>
      <w:pP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p>
    <w:p>
      <w:pP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p>
    <w:p>
      <w:pP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firstLine="422"/>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p>
    <w:p>
      <w:pPr>
        <w:ind w:firstLine="422"/>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p>
    <w:p>
      <w:pPr>
        <w:ind w:firstLine="422"/>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p>
    <w:p>
      <w:pPr>
        <w:ind w:firstLine="422"/>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p>
    <w:p>
      <w:pP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附件三：开标一览表格式</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开标一览表</w:t>
      </w:r>
      <w:r/>
    </w:p>
    <w:p>
      <w:pPr>
        <w:ind w:firstLine="540"/>
        <w:jc w:val="both"/>
        <w:spacing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项目名称：                       </w:t>
      </w:r>
      <w:r/>
    </w:p>
    <w:p>
      <w:pPr>
        <w:ind w:firstLine="540"/>
        <w:jc w:val="both"/>
        <w:spacing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项目编号：</w:t>
      </w:r>
      <w:r/>
    </w:p>
    <w:tbl>
      <w:tblPr>
        <w:tblStyle w:val="687"/>
        <w:tblpPr w:horzAnchor="page" w:tblpX="1156" w:vertAnchor="text" w:tblpY="537"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80" w:type="dxa"/>
          <w:top w:w="80" w:type="dxa"/>
          <w:right w:w="80" w:type="dxa"/>
          <w:bottom w:w="80" w:type="dxa"/>
        </w:tblCellMar>
        <w:tblLook w:val="04A0" w:firstRow="1" w:lastRow="0" w:firstColumn="1" w:lastColumn="0" w:noHBand="0" w:noVBand="1"/>
      </w:tblPr>
      <w:tblGrid>
        <w:gridCol w:w="2023"/>
        <w:gridCol w:w="5549"/>
        <w:gridCol w:w="1772"/>
      </w:tblGrid>
      <w:tr>
        <w:trPr>
          <w:trHeight w:val="1183"/>
        </w:trPr>
        <w:tc>
          <w:tcPr>
            <w:tcMar>
              <w:left w:w="80" w:type="dxa"/>
              <w:top w:w="80" w:type="dxa"/>
              <w:right w:w="80" w:type="dxa"/>
              <w:bottom w:w="80" w:type="dxa"/>
            </w:tcMar>
            <w:tcW w:w="2023" w:type="dxa"/>
            <w:vAlign w:val="center"/>
            <w:textDirection w:val="lrTb"/>
            <w:noWrap w:val="false"/>
          </w:tcPr>
          <w:p>
            <w:pPr>
              <w:ind w:firstLine="420"/>
              <w:jc w:val="both"/>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投标总价</w:t>
            </w:r>
            <w:r/>
          </w:p>
        </w:tc>
        <w:tc>
          <w:tcPr>
            <w:tcMar>
              <w:left w:w="80" w:type="dxa"/>
              <w:top w:w="80" w:type="dxa"/>
              <w:right w:w="80" w:type="dxa"/>
              <w:bottom w:w="80" w:type="dxa"/>
            </w:tcMar>
            <w:tcW w:w="5549" w:type="dxa"/>
            <w:vAlign w:val="center"/>
            <w:textDirection w:val="lrTb"/>
            <w:noWrap w:val="false"/>
          </w:tcPr>
          <w:p>
            <w:pPr>
              <w:jc w:val="both"/>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小写：人民币</w:t>
            </w:r>
            <w:r/>
          </w:p>
          <w:p>
            <w:pPr>
              <w:ind w:firstLine="540"/>
              <w:jc w:val="both"/>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p>
            <w:pPr>
              <w:jc w:val="both"/>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大写：人民币</w:t>
            </w:r>
            <w:r/>
          </w:p>
        </w:tc>
        <w:tc>
          <w:tcPr>
            <w:tcMar>
              <w:left w:w="80" w:type="dxa"/>
              <w:top w:w="80" w:type="dxa"/>
              <w:right w:w="80" w:type="dxa"/>
              <w:bottom w:w="80" w:type="dxa"/>
            </w:tcMar>
            <w:tcW w:w="1772" w:type="dxa"/>
            <w:vAlign w:val="center"/>
            <w:textDirection w:val="lrTb"/>
            <w:noWrap w:val="false"/>
          </w:tcPr>
          <w:p>
            <w:pP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r>
      <w:tr>
        <w:trPr>
          <w:trHeight w:val="627"/>
        </w:trPr>
        <w:tc>
          <w:tcPr>
            <w:tcMar>
              <w:left w:w="80" w:type="dxa"/>
              <w:top w:w="80" w:type="dxa"/>
              <w:right w:w="80" w:type="dxa"/>
              <w:bottom w:w="80" w:type="dxa"/>
            </w:tcMar>
            <w:tcW w:w="2023" w:type="dxa"/>
            <w:vAlign w:val="center"/>
            <w:textDirection w:val="lrTb"/>
            <w:noWrap w:val="false"/>
          </w:tcPr>
          <w:p>
            <w:pPr>
              <w:jc w:val="center"/>
              <w:spacing w:line="85"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合同履行期</w:t>
            </w:r>
            <w:r>
              <w:rPr>
                <w:rFonts w:hint="eastAsia" w:ascii="宋体" w:hAnsi="宋体" w:eastAsia="宋体" w:cs="宋体"/>
                <w:color w:val="000000"/>
                <w:highlight w:val="none"/>
                <w:lang w:eastAsia="zh-CN"/>
              </w:rPr>
              <w:t xml:space="preserve">限</w:t>
            </w:r>
            <w:r/>
          </w:p>
        </w:tc>
        <w:tc>
          <w:tcPr>
            <w:tcMar>
              <w:left w:w="80" w:type="dxa"/>
              <w:top w:w="80" w:type="dxa"/>
              <w:right w:w="80" w:type="dxa"/>
              <w:bottom w:w="80" w:type="dxa"/>
            </w:tcMar>
            <w:tcW w:w="5549" w:type="dxa"/>
            <w:vAlign w:val="center"/>
            <w:textDirection w:val="lrTb"/>
            <w:noWrap w:val="false"/>
          </w:tcPr>
          <w:p>
            <w:pPr>
              <w:ind w:firstLine="540"/>
              <w:jc w:val="both"/>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80" w:type="dxa"/>
              <w:top w:w="80" w:type="dxa"/>
              <w:right w:w="80" w:type="dxa"/>
              <w:bottom w:w="80" w:type="dxa"/>
            </w:tcMar>
            <w:tcW w:w="1772" w:type="dxa"/>
            <w:vAlign w:val="center"/>
            <w:textDirection w:val="lrTb"/>
            <w:noWrap w:val="false"/>
          </w:tcPr>
          <w:p>
            <w:pPr>
              <w:ind w:firstLine="540"/>
              <w:jc w:val="both"/>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r>
      <w:tr>
        <w:trPr>
          <w:trHeight w:val="615"/>
        </w:trPr>
        <w:tc>
          <w:tcPr>
            <w:tcMar>
              <w:left w:w="80" w:type="dxa"/>
              <w:top w:w="80" w:type="dxa"/>
              <w:right w:w="80" w:type="dxa"/>
              <w:bottom w:w="80" w:type="dxa"/>
            </w:tcMar>
            <w:tcW w:w="2023" w:type="dxa"/>
            <w:vAlign w:val="center"/>
            <w:textDirection w:val="lrTb"/>
            <w:noWrap w:val="false"/>
          </w:tcPr>
          <w:p>
            <w:pPr>
              <w:jc w:val="center"/>
              <w:spacing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所投</w:t>
            </w:r>
            <w:r>
              <w:rPr>
                <w:rFonts w:hint="eastAsia" w:ascii="宋体" w:hAnsi="宋体" w:eastAsia="宋体" w:cs="宋体"/>
                <w:color w:val="000000"/>
                <w:highlight w:val="none"/>
                <w:lang w:eastAsia="zh-CN"/>
              </w:rPr>
              <w:t xml:space="preserve">核心</w:t>
            </w:r>
            <w:r>
              <w:rPr>
                <w:rFonts w:hint="eastAsia" w:ascii="宋体" w:hAnsi="宋体" w:eastAsia="宋体" w:cs="宋体"/>
                <w:color w:val="000000"/>
                <w:highlight w:val="none"/>
              </w:rPr>
              <w:t xml:space="preserve">产品品牌</w:t>
            </w:r>
            <w:r/>
          </w:p>
        </w:tc>
        <w:tc>
          <w:tcPr>
            <w:tcMar>
              <w:left w:w="80" w:type="dxa"/>
              <w:top w:w="80" w:type="dxa"/>
              <w:right w:w="80" w:type="dxa"/>
              <w:bottom w:w="80" w:type="dxa"/>
            </w:tcMar>
            <w:tcW w:w="5549" w:type="dxa"/>
            <w:vAlign w:val="center"/>
            <w:textDirection w:val="lrTb"/>
            <w:noWrap w:val="false"/>
          </w:tcPr>
          <w:p>
            <w:pPr>
              <w:ind w:firstLine="540"/>
              <w:jc w:val="both"/>
              <w:spacing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tc>
        <w:tc>
          <w:tcPr>
            <w:tcMar>
              <w:left w:w="80" w:type="dxa"/>
              <w:top w:w="80" w:type="dxa"/>
              <w:right w:w="80" w:type="dxa"/>
              <w:bottom w:w="80" w:type="dxa"/>
            </w:tcMar>
            <w:tcW w:w="1772" w:type="dxa"/>
            <w:vAlign w:val="center"/>
            <w:textDirection w:val="lrTb"/>
            <w:noWrap w:val="false"/>
          </w:tcPr>
          <w:p>
            <w:pPr>
              <w:ind w:firstLine="540"/>
              <w:jc w:val="both"/>
              <w:spacing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tc>
      </w:tr>
      <w:tr>
        <w:trPr>
          <w:trHeight w:val="1096"/>
        </w:trPr>
        <w:tc>
          <w:tcPr>
            <w:tcMar>
              <w:left w:w="80" w:type="dxa"/>
              <w:top w:w="80" w:type="dxa"/>
              <w:right w:w="80" w:type="dxa"/>
              <w:bottom w:w="80" w:type="dxa"/>
            </w:tcMar>
            <w:tcW w:w="2023" w:type="dxa"/>
            <w:vAlign w:val="center"/>
            <w:textDirection w:val="lrTb"/>
            <w:noWrap w:val="false"/>
          </w:tcPr>
          <w:p>
            <w:pPr>
              <w:jc w:val="both"/>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供应商提供的货物是否均为</w:t>
            </w:r>
            <w:r>
              <w:rPr>
                <w:rFonts w:hint="eastAsia" w:ascii="宋体" w:hAnsi="宋体" w:eastAsia="宋体" w:cs="宋体"/>
                <w:color w:val="000000"/>
                <w:highlight w:val="none"/>
                <w:lang w:eastAsia="zh-CN"/>
              </w:rPr>
              <w:t xml:space="preserve">中小</w:t>
            </w:r>
            <w:r>
              <w:rPr>
                <w:rFonts w:hint="eastAsia" w:ascii="宋体" w:hAnsi="宋体" w:eastAsia="宋体" w:cs="宋体"/>
                <w:color w:val="000000"/>
                <w:highlight w:val="none"/>
              </w:rPr>
              <w:t xml:space="preserve">企业制造的货物</w:t>
            </w:r>
            <w:r/>
          </w:p>
        </w:tc>
        <w:tc>
          <w:tcPr>
            <w:tcMar>
              <w:left w:w="80" w:type="dxa"/>
              <w:top w:w="80" w:type="dxa"/>
              <w:right w:w="80" w:type="dxa"/>
              <w:bottom w:w="80" w:type="dxa"/>
            </w:tcMar>
            <w:tcW w:w="5549" w:type="dxa"/>
            <w:vAlign w:val="center"/>
            <w:textDirection w:val="lrTb"/>
            <w:noWrap w:val="false"/>
          </w:tcPr>
          <w:p>
            <w:pPr>
              <w:ind w:firstLine="540"/>
              <w:jc w:val="both"/>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是      否</w:t>
            </w:r>
            <w:r/>
          </w:p>
        </w:tc>
        <w:tc>
          <w:tcPr>
            <w:tcMar>
              <w:left w:w="80" w:type="dxa"/>
              <w:top w:w="80" w:type="dxa"/>
              <w:right w:w="80" w:type="dxa"/>
              <w:bottom w:w="80" w:type="dxa"/>
            </w:tcMar>
            <w:tcW w:w="1772" w:type="dxa"/>
            <w:vAlign w:val="center"/>
            <w:textDirection w:val="lrTb"/>
            <w:noWrap w:val="false"/>
          </w:tcPr>
          <w:p>
            <w:pPr>
              <w:ind w:firstLine="540"/>
              <w:jc w:val="both"/>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r>
      <w:tr>
        <w:trPr>
          <w:trHeight w:val="1096"/>
        </w:trPr>
        <w:tc>
          <w:tcPr>
            <w:tcMar>
              <w:left w:w="80" w:type="dxa"/>
              <w:top w:w="80" w:type="dxa"/>
              <w:right w:w="80" w:type="dxa"/>
              <w:bottom w:w="80" w:type="dxa"/>
            </w:tcMar>
            <w:tcW w:w="2023" w:type="dxa"/>
            <w:vAlign w:val="center"/>
            <w:textDirection w:val="lrTb"/>
            <w:noWrap w:val="false"/>
          </w:tcPr>
          <w:p>
            <w:pPr>
              <w:jc w:val="both"/>
              <w:spacing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val="zh-CN" w:eastAsia="zh-CN"/>
              </w:rPr>
              <w:t xml:space="preserve">残疾人福利单位</w:t>
            </w:r>
            <w:r/>
          </w:p>
        </w:tc>
        <w:tc>
          <w:tcPr>
            <w:tcMar>
              <w:left w:w="80" w:type="dxa"/>
              <w:top w:w="80" w:type="dxa"/>
              <w:right w:w="80" w:type="dxa"/>
              <w:bottom w:w="80" w:type="dxa"/>
            </w:tcMar>
            <w:tcW w:w="5549" w:type="dxa"/>
            <w:vAlign w:val="center"/>
            <w:textDirection w:val="lrTb"/>
            <w:noWrap w:val="false"/>
          </w:tcPr>
          <w:p>
            <w:pPr>
              <w:ind w:firstLine="540"/>
              <w:jc w:val="both"/>
              <w:spacing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是      否</w:t>
            </w:r>
            <w:r/>
          </w:p>
        </w:tc>
        <w:tc>
          <w:tcPr>
            <w:tcMar>
              <w:left w:w="80" w:type="dxa"/>
              <w:top w:w="80" w:type="dxa"/>
              <w:right w:w="80" w:type="dxa"/>
              <w:bottom w:w="80" w:type="dxa"/>
            </w:tcMar>
            <w:tcW w:w="1772" w:type="dxa"/>
            <w:vAlign w:val="center"/>
            <w:textDirection w:val="lrTb"/>
            <w:noWrap w:val="false"/>
          </w:tcPr>
          <w:p>
            <w:pPr>
              <w:ind w:firstLine="540"/>
              <w:jc w:val="both"/>
              <w:spacing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tc>
      </w:tr>
      <w:tr>
        <w:trPr>
          <w:trHeight w:val="1096"/>
        </w:trPr>
        <w:tc>
          <w:tcPr>
            <w:tcMar>
              <w:left w:w="80" w:type="dxa"/>
              <w:top w:w="80" w:type="dxa"/>
              <w:right w:w="80" w:type="dxa"/>
              <w:bottom w:w="80" w:type="dxa"/>
            </w:tcMar>
            <w:tcW w:w="2023" w:type="dxa"/>
            <w:vAlign w:val="center"/>
            <w:textDirection w:val="lrTb"/>
            <w:noWrap w:val="false"/>
          </w:tcPr>
          <w:p>
            <w:pPr>
              <w:jc w:val="both"/>
              <w:spacing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val="zh-CN" w:eastAsia="zh-CN"/>
              </w:rPr>
              <w:t xml:space="preserve">监狱企业</w:t>
            </w:r>
            <w:r/>
          </w:p>
        </w:tc>
        <w:tc>
          <w:tcPr>
            <w:tcMar>
              <w:left w:w="80" w:type="dxa"/>
              <w:top w:w="80" w:type="dxa"/>
              <w:right w:w="80" w:type="dxa"/>
              <w:bottom w:w="80" w:type="dxa"/>
            </w:tcMar>
            <w:tcW w:w="5549" w:type="dxa"/>
            <w:vAlign w:val="center"/>
            <w:textDirection w:val="lrTb"/>
            <w:noWrap w:val="false"/>
          </w:tcPr>
          <w:p>
            <w:pPr>
              <w:ind w:firstLine="540"/>
              <w:jc w:val="both"/>
              <w:spacing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是      否</w:t>
            </w:r>
            <w:r/>
          </w:p>
        </w:tc>
        <w:tc>
          <w:tcPr>
            <w:tcMar>
              <w:left w:w="80" w:type="dxa"/>
              <w:top w:w="80" w:type="dxa"/>
              <w:right w:w="80" w:type="dxa"/>
              <w:bottom w:w="80" w:type="dxa"/>
            </w:tcMar>
            <w:tcW w:w="1772" w:type="dxa"/>
            <w:vAlign w:val="center"/>
            <w:textDirection w:val="lrTb"/>
            <w:noWrap w:val="false"/>
          </w:tcPr>
          <w:p>
            <w:pPr>
              <w:ind w:firstLine="540"/>
              <w:jc w:val="both"/>
              <w:spacing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tc>
      </w:tr>
    </w:tbl>
    <w:p>
      <w:pPr>
        <w:spacing w:line="360" w:lineRule="auto"/>
        <w:shd w:val="clear" w:color="auto" w:fill="ffffff"/>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供应商</w:t>
      </w:r>
      <w:r>
        <w:rPr>
          <w:rFonts w:hint="eastAsia" w:ascii="宋体" w:hAnsi="宋体" w:eastAsia="宋体" w:cs="宋体"/>
          <w:szCs w:val="21"/>
          <w:highlight w:val="none"/>
        </w:rPr>
        <w:t xml:space="preserve">（加盖电子公章）：       </w:t>
      </w:r>
      <w:r/>
    </w:p>
    <w:p>
      <w:pPr>
        <w:spacing w:before="240" w:after="240" w:line="85" w:lineRule="atLeast"/>
        <w:shd w:val="clear" w:color="ffffff" w:fill="ffff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日期：</w:t>
      </w:r>
      <w:r>
        <w:rPr>
          <w:rFonts w:hint="eastAsia" w:ascii="宋体" w:hAnsi="宋体" w:eastAsia="宋体" w:cs="宋体"/>
          <w:color w:val="000000"/>
          <w:highlight w:val="none"/>
          <w:u w:val="single"/>
        </w:rPr>
        <w:t xml:space="preserve">                      </w:t>
      </w:r>
      <w:r/>
    </w:p>
    <w:p>
      <w:pPr>
        <w:spacing w:before="240" w:after="240" w:line="360" w:lineRule="auto"/>
        <w:shd w:val="clear" w:color="ffffff" w:fill="ffff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说明：1.本项目仅接受一个价格，不得填报有选择性报价方案。</w:t>
      </w:r>
      <w:r/>
    </w:p>
    <w:p>
      <w:pPr>
        <w:numPr>
          <w:ilvl w:val="0"/>
          <w:numId w:val="0"/>
        </w:numPr>
        <w:spacing w:before="240" w:after="240" w:line="360" w:lineRule="auto"/>
        <w:shd w:val="clear" w:color="ffffff" w:fill="ffff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2"/>
          <w:highlight w:val="none"/>
          <w:lang w:val="en-US" w:eastAsia="zh-CN" w:bidi="ar-SA"/>
        </w:rPr>
        <w:t xml:space="preserve">2.</w:t>
      </w:r>
      <w:r>
        <w:rPr>
          <w:rFonts w:hint="eastAsia" w:ascii="宋体" w:hAnsi="宋体" w:eastAsia="宋体" w:cs="宋体"/>
          <w:highlight w:val="none"/>
        </w:rPr>
        <w:t xml:space="preserve">供应商须根据制造商实际情况，在“供应商提供的货物是否均为</w:t>
      </w:r>
      <w:r>
        <w:rPr>
          <w:rFonts w:hint="eastAsia" w:ascii="宋体" w:hAnsi="宋体" w:eastAsia="宋体" w:cs="宋体"/>
          <w:highlight w:val="none"/>
          <w:lang w:eastAsia="zh-CN"/>
        </w:rPr>
        <w:t xml:space="preserve">中小</w:t>
      </w:r>
      <w:r>
        <w:rPr>
          <w:rFonts w:hint="eastAsia" w:ascii="宋体" w:hAnsi="宋体" w:eastAsia="宋体" w:cs="宋体"/>
          <w:highlight w:val="none"/>
        </w:rPr>
        <w:t xml:space="preserve">企业制造的货物”栏后“是”或“否”上打“√”，如供应商提供的货物存在大型企业制造的货物，请在“否”上打“√”。如填写“是”，投标供应商需提供《中小企业声明函》《残疾人福利性单位声明函》《属于监狱企业的证明文件》。</w:t>
      </w:r>
      <w:r/>
    </w:p>
    <w:p>
      <w:pP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br w:type="page" w:clear="all"/>
      </w:r>
      <w:r>
        <w:rPr>
          <w:rFonts w:hint="eastAsia" w:ascii="宋体" w:hAnsi="宋体" w:eastAsia="宋体" w:cs="宋体"/>
          <w:color w:val="000000"/>
          <w:sz w:val="24"/>
          <w:highlight w:val="none"/>
        </w:rPr>
        <w:t xml:space="preserve">附件四：分项报价表格式</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分项报价表</w:t>
      </w:r>
      <w:r/>
    </w:p>
    <w:tbl>
      <w:tblPr>
        <w:tblStyle w:val="687"/>
        <w:tblW w:w="0" w:type="auto"/>
        <w:tblInd w:w="-2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1"/>
        <w:gridCol w:w="1536"/>
        <w:gridCol w:w="2219"/>
        <w:gridCol w:w="1095"/>
        <w:gridCol w:w="683"/>
        <w:gridCol w:w="915"/>
        <w:gridCol w:w="1065"/>
        <w:gridCol w:w="1101"/>
      </w:tblGrid>
      <w:tr>
        <w:trPr>
          <w:trHeight w:val="793"/>
        </w:trPr>
        <w:tc>
          <w:tcPr>
            <w:gridSpan w:val="4"/>
            <w:tcMar>
              <w:left w:w="108" w:type="dxa"/>
              <w:top w:w="0" w:type="dxa"/>
              <w:right w:w="108" w:type="dxa"/>
              <w:bottom w:w="0" w:type="dxa"/>
            </w:tcMar>
            <w:tcW w:w="5591" w:type="dxa"/>
            <w:vAlign w:val="center"/>
            <w:textDirection w:val="lrTb"/>
            <w:noWrap w:val="false"/>
          </w:tcPr>
          <w:p>
            <w:pP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项目名称：</w:t>
            </w:r>
            <w:r/>
          </w:p>
        </w:tc>
        <w:tc>
          <w:tcPr>
            <w:gridSpan w:val="4"/>
            <w:tcMar>
              <w:left w:w="108" w:type="dxa"/>
              <w:top w:w="0" w:type="dxa"/>
              <w:right w:w="108" w:type="dxa"/>
              <w:bottom w:w="0" w:type="dxa"/>
            </w:tcMar>
            <w:tcW w:w="3764" w:type="dxa"/>
            <w:vAlign w:val="center"/>
            <w:textDirection w:val="lrTb"/>
            <w:noWrap w:val="false"/>
          </w:tcPr>
          <w:p>
            <w:pP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项目编号：           </w:t>
            </w:r>
            <w:r/>
          </w:p>
        </w:tc>
      </w:tr>
      <w:tr>
        <w:trPr/>
        <w:tc>
          <w:tcPr>
            <w:tcMar>
              <w:left w:w="108" w:type="dxa"/>
              <w:top w:w="0" w:type="dxa"/>
              <w:right w:w="108" w:type="dxa"/>
              <w:bottom w:w="0" w:type="dxa"/>
            </w:tcMar>
            <w:tcW w:w="741" w:type="dxa"/>
            <w:vAlign w:val="center"/>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序号</w:t>
            </w:r>
            <w:r/>
          </w:p>
        </w:tc>
        <w:tc>
          <w:tcPr>
            <w:tcMar>
              <w:left w:w="108" w:type="dxa"/>
              <w:top w:w="0" w:type="dxa"/>
              <w:right w:w="108" w:type="dxa"/>
              <w:bottom w:w="0" w:type="dxa"/>
            </w:tcMar>
            <w:tcW w:w="1536" w:type="dxa"/>
            <w:vAlign w:val="center"/>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分项内容</w:t>
            </w:r>
            <w:r/>
          </w:p>
        </w:tc>
        <w:tc>
          <w:tcPr>
            <w:tcMar>
              <w:left w:w="108" w:type="dxa"/>
              <w:top w:w="0" w:type="dxa"/>
              <w:right w:w="108" w:type="dxa"/>
              <w:bottom w:w="0" w:type="dxa"/>
            </w:tcMar>
            <w:tcW w:w="2219" w:type="dxa"/>
            <w:vAlign w:val="center"/>
            <w:textDirection w:val="lrTb"/>
            <w:noWrap w:val="false"/>
          </w:tcPr>
          <w:p>
            <w:pPr>
              <w:jc w:val="center"/>
              <w:spacing w:line="85"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参数</w:t>
            </w:r>
            <w:r/>
          </w:p>
        </w:tc>
        <w:tc>
          <w:tcPr>
            <w:tcMar>
              <w:left w:w="108" w:type="dxa"/>
              <w:top w:w="0" w:type="dxa"/>
              <w:right w:w="108" w:type="dxa"/>
              <w:bottom w:w="0" w:type="dxa"/>
            </w:tcMar>
            <w:tcW w:w="1095" w:type="dxa"/>
            <w:vAlign w:val="center"/>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单价</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（元）</w:t>
            </w:r>
            <w:r/>
          </w:p>
        </w:tc>
        <w:tc>
          <w:tcPr>
            <w:tcMar>
              <w:left w:w="108" w:type="dxa"/>
              <w:top w:w="0" w:type="dxa"/>
              <w:right w:w="108" w:type="dxa"/>
              <w:bottom w:w="0" w:type="dxa"/>
            </w:tcMar>
            <w:tcW w:w="683" w:type="dxa"/>
            <w:vAlign w:val="center"/>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数量</w:t>
            </w:r>
            <w:r/>
          </w:p>
        </w:tc>
        <w:tc>
          <w:tcPr>
            <w:tcMar>
              <w:left w:w="108" w:type="dxa"/>
              <w:top w:w="0" w:type="dxa"/>
              <w:right w:w="108" w:type="dxa"/>
              <w:bottom w:w="0" w:type="dxa"/>
            </w:tcMar>
            <w:tcW w:w="915" w:type="dxa"/>
            <w:vAlign w:val="center"/>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小计</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（元）</w:t>
            </w:r>
            <w:r/>
          </w:p>
        </w:tc>
        <w:tc>
          <w:tcPr>
            <w:tcMar>
              <w:left w:w="108" w:type="dxa"/>
              <w:top w:w="0" w:type="dxa"/>
              <w:right w:w="108" w:type="dxa"/>
              <w:bottom w:w="0" w:type="dxa"/>
            </w:tcMar>
            <w:tcW w:w="1065" w:type="dxa"/>
            <w:vAlign w:val="center"/>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是否属于</w:t>
            </w:r>
            <w:r>
              <w:rPr>
                <w:rFonts w:hint="eastAsia" w:ascii="宋体" w:hAnsi="宋体" w:eastAsia="宋体" w:cs="宋体"/>
                <w:color w:val="000000"/>
                <w:highlight w:val="none"/>
                <w:lang w:eastAsia="zh-CN"/>
              </w:rPr>
              <w:t xml:space="preserve">中小</w:t>
            </w:r>
            <w:r>
              <w:rPr>
                <w:rFonts w:hint="eastAsia" w:ascii="宋体" w:hAnsi="宋体" w:eastAsia="宋体" w:cs="宋体"/>
                <w:color w:val="000000"/>
                <w:highlight w:val="none"/>
              </w:rPr>
              <w:t xml:space="preserve">企业制造的货物</w:t>
            </w:r>
            <w:r/>
          </w:p>
        </w:tc>
        <w:tc>
          <w:tcPr>
            <w:tcMar>
              <w:left w:w="108" w:type="dxa"/>
              <w:top w:w="0" w:type="dxa"/>
              <w:right w:w="108" w:type="dxa"/>
              <w:bottom w:w="0" w:type="dxa"/>
            </w:tcMar>
            <w:tcW w:w="1101" w:type="dxa"/>
            <w:vAlign w:val="center"/>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是否属于节能、环境标志产品</w:t>
            </w:r>
            <w:r/>
          </w:p>
        </w:tc>
      </w:tr>
      <w:tr>
        <w:trPr>
          <w:trHeight w:val="498"/>
        </w:trPr>
        <w:tc>
          <w:tcPr>
            <w:tcMar>
              <w:left w:w="108" w:type="dxa"/>
              <w:top w:w="0" w:type="dxa"/>
              <w:right w:w="108" w:type="dxa"/>
              <w:bottom w:w="0" w:type="dxa"/>
            </w:tcMar>
            <w:tcW w:w="741" w:type="dxa"/>
            <w:vAlign w:val="center"/>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108" w:type="dxa"/>
              <w:top w:w="0" w:type="dxa"/>
              <w:right w:w="108" w:type="dxa"/>
              <w:bottom w:w="0" w:type="dxa"/>
            </w:tcMar>
            <w:tcW w:w="1536" w:type="dxa"/>
            <w:vAlign w:val="center"/>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108" w:type="dxa"/>
              <w:top w:w="0" w:type="dxa"/>
              <w:right w:w="108" w:type="dxa"/>
              <w:bottom w:w="0" w:type="dxa"/>
            </w:tcMar>
            <w:tcW w:w="2219" w:type="dxa"/>
            <w:vAlign w:val="center"/>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108" w:type="dxa"/>
              <w:top w:w="0" w:type="dxa"/>
              <w:right w:w="108" w:type="dxa"/>
              <w:bottom w:w="0" w:type="dxa"/>
            </w:tcMar>
            <w:tcW w:w="1095"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108" w:type="dxa"/>
              <w:top w:w="0" w:type="dxa"/>
              <w:right w:w="108" w:type="dxa"/>
              <w:bottom w:w="0" w:type="dxa"/>
            </w:tcMar>
            <w:tcW w:w="683"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108" w:type="dxa"/>
              <w:top w:w="0" w:type="dxa"/>
              <w:right w:w="108" w:type="dxa"/>
              <w:bottom w:w="0" w:type="dxa"/>
            </w:tcMar>
            <w:tcW w:w="915" w:type="dxa"/>
            <w:vAlign w:val="top"/>
            <w:textDirection w:val="lrTb"/>
            <w:noWrap w:val="false"/>
          </w:tcPr>
          <w:p>
            <w:pP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108" w:type="dxa"/>
              <w:top w:w="0" w:type="dxa"/>
              <w:right w:w="108" w:type="dxa"/>
              <w:bottom w:w="0" w:type="dxa"/>
            </w:tcMar>
            <w:tcW w:w="1065" w:type="dxa"/>
            <w:vAlign w:val="top"/>
            <w:textDirection w:val="lrTb"/>
            <w:noWrap w:val="false"/>
          </w:tcPr>
          <w:p>
            <w:pP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108" w:type="dxa"/>
              <w:top w:w="0" w:type="dxa"/>
              <w:right w:w="108" w:type="dxa"/>
              <w:bottom w:w="0" w:type="dxa"/>
            </w:tcMar>
            <w:tcW w:w="1101" w:type="dxa"/>
            <w:vAlign w:val="top"/>
            <w:textDirection w:val="lrTb"/>
            <w:noWrap w:val="false"/>
          </w:tcPr>
          <w:p>
            <w:pP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r>
      <w:tr>
        <w:trPr>
          <w:trHeight w:val="498"/>
        </w:trPr>
        <w:tc>
          <w:tcPr>
            <w:tcMar>
              <w:left w:w="108" w:type="dxa"/>
              <w:top w:w="0" w:type="dxa"/>
              <w:right w:w="108" w:type="dxa"/>
              <w:bottom w:w="0" w:type="dxa"/>
            </w:tcMar>
            <w:tcW w:w="741" w:type="dxa"/>
            <w:vAlign w:val="center"/>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108" w:type="dxa"/>
              <w:top w:w="0" w:type="dxa"/>
              <w:right w:w="108" w:type="dxa"/>
              <w:bottom w:w="0" w:type="dxa"/>
            </w:tcMar>
            <w:tcW w:w="1536" w:type="dxa"/>
            <w:vAlign w:val="center"/>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108" w:type="dxa"/>
              <w:top w:w="0" w:type="dxa"/>
              <w:right w:w="108" w:type="dxa"/>
              <w:bottom w:w="0" w:type="dxa"/>
            </w:tcMar>
            <w:tcW w:w="2219" w:type="dxa"/>
            <w:vAlign w:val="center"/>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108" w:type="dxa"/>
              <w:top w:w="0" w:type="dxa"/>
              <w:right w:w="108" w:type="dxa"/>
              <w:bottom w:w="0" w:type="dxa"/>
            </w:tcMar>
            <w:tcW w:w="1095"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108" w:type="dxa"/>
              <w:top w:w="0" w:type="dxa"/>
              <w:right w:w="108" w:type="dxa"/>
              <w:bottom w:w="0" w:type="dxa"/>
            </w:tcMar>
            <w:tcW w:w="683"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108" w:type="dxa"/>
              <w:top w:w="0" w:type="dxa"/>
              <w:right w:w="108" w:type="dxa"/>
              <w:bottom w:w="0" w:type="dxa"/>
            </w:tcMar>
            <w:tcW w:w="915" w:type="dxa"/>
            <w:vAlign w:val="top"/>
            <w:textDirection w:val="lrTb"/>
            <w:noWrap w:val="false"/>
          </w:tcPr>
          <w:p>
            <w:pP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108" w:type="dxa"/>
              <w:top w:w="0" w:type="dxa"/>
              <w:right w:w="108" w:type="dxa"/>
              <w:bottom w:w="0" w:type="dxa"/>
            </w:tcMar>
            <w:tcW w:w="1065" w:type="dxa"/>
            <w:vAlign w:val="top"/>
            <w:textDirection w:val="lrTb"/>
            <w:noWrap w:val="false"/>
          </w:tcPr>
          <w:p>
            <w:pP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108" w:type="dxa"/>
              <w:top w:w="0" w:type="dxa"/>
              <w:right w:w="108" w:type="dxa"/>
              <w:bottom w:w="0" w:type="dxa"/>
            </w:tcMar>
            <w:tcW w:w="1101" w:type="dxa"/>
            <w:vAlign w:val="top"/>
            <w:textDirection w:val="lrTb"/>
            <w:noWrap w:val="false"/>
          </w:tcPr>
          <w:p>
            <w:pP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r>
      <w:tr>
        <w:trPr>
          <w:trHeight w:val="498"/>
        </w:trPr>
        <w:tc>
          <w:tcPr>
            <w:tcMar>
              <w:left w:w="108" w:type="dxa"/>
              <w:top w:w="0" w:type="dxa"/>
              <w:right w:w="108" w:type="dxa"/>
              <w:bottom w:w="0" w:type="dxa"/>
            </w:tcMar>
            <w:tcW w:w="741" w:type="dxa"/>
            <w:vAlign w:val="center"/>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108" w:type="dxa"/>
              <w:top w:w="0" w:type="dxa"/>
              <w:right w:w="108" w:type="dxa"/>
              <w:bottom w:w="0" w:type="dxa"/>
            </w:tcMar>
            <w:tcW w:w="1536" w:type="dxa"/>
            <w:vAlign w:val="center"/>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108" w:type="dxa"/>
              <w:top w:w="0" w:type="dxa"/>
              <w:right w:w="108" w:type="dxa"/>
              <w:bottom w:w="0" w:type="dxa"/>
            </w:tcMar>
            <w:tcW w:w="2219" w:type="dxa"/>
            <w:vAlign w:val="center"/>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108" w:type="dxa"/>
              <w:top w:w="0" w:type="dxa"/>
              <w:right w:w="108" w:type="dxa"/>
              <w:bottom w:w="0" w:type="dxa"/>
            </w:tcMar>
            <w:tcW w:w="1095"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108" w:type="dxa"/>
              <w:top w:w="0" w:type="dxa"/>
              <w:right w:w="108" w:type="dxa"/>
              <w:bottom w:w="0" w:type="dxa"/>
            </w:tcMar>
            <w:tcW w:w="683"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108" w:type="dxa"/>
              <w:top w:w="0" w:type="dxa"/>
              <w:right w:w="108" w:type="dxa"/>
              <w:bottom w:w="0" w:type="dxa"/>
            </w:tcMar>
            <w:tcW w:w="915" w:type="dxa"/>
            <w:vAlign w:val="top"/>
            <w:textDirection w:val="lrTb"/>
            <w:noWrap w:val="false"/>
          </w:tcPr>
          <w:p>
            <w:pP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108" w:type="dxa"/>
              <w:top w:w="0" w:type="dxa"/>
              <w:right w:w="108" w:type="dxa"/>
              <w:bottom w:w="0" w:type="dxa"/>
            </w:tcMar>
            <w:tcW w:w="1065" w:type="dxa"/>
            <w:vAlign w:val="top"/>
            <w:textDirection w:val="lrTb"/>
            <w:noWrap w:val="false"/>
          </w:tcPr>
          <w:p>
            <w:pP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108" w:type="dxa"/>
              <w:top w:w="0" w:type="dxa"/>
              <w:right w:w="108" w:type="dxa"/>
              <w:bottom w:w="0" w:type="dxa"/>
            </w:tcMar>
            <w:tcW w:w="1101" w:type="dxa"/>
            <w:vAlign w:val="top"/>
            <w:textDirection w:val="lrTb"/>
            <w:noWrap w:val="false"/>
          </w:tcPr>
          <w:p>
            <w:pP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r>
      <w:tr>
        <w:trPr>
          <w:trHeight w:val="498"/>
        </w:trPr>
        <w:tc>
          <w:tcPr>
            <w:tcMar>
              <w:left w:w="108" w:type="dxa"/>
              <w:top w:w="0" w:type="dxa"/>
              <w:right w:w="108" w:type="dxa"/>
              <w:bottom w:w="0" w:type="dxa"/>
            </w:tcMar>
            <w:tcW w:w="741" w:type="dxa"/>
            <w:vAlign w:val="center"/>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108" w:type="dxa"/>
              <w:top w:w="0" w:type="dxa"/>
              <w:right w:w="108" w:type="dxa"/>
              <w:bottom w:w="0" w:type="dxa"/>
            </w:tcMar>
            <w:tcW w:w="1536" w:type="dxa"/>
            <w:vAlign w:val="center"/>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108" w:type="dxa"/>
              <w:top w:w="0" w:type="dxa"/>
              <w:right w:w="108" w:type="dxa"/>
              <w:bottom w:w="0" w:type="dxa"/>
            </w:tcMar>
            <w:tcW w:w="2219" w:type="dxa"/>
            <w:vAlign w:val="center"/>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108" w:type="dxa"/>
              <w:top w:w="0" w:type="dxa"/>
              <w:right w:w="108" w:type="dxa"/>
              <w:bottom w:w="0" w:type="dxa"/>
            </w:tcMar>
            <w:tcW w:w="1095"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108" w:type="dxa"/>
              <w:top w:w="0" w:type="dxa"/>
              <w:right w:w="108" w:type="dxa"/>
              <w:bottom w:w="0" w:type="dxa"/>
            </w:tcMar>
            <w:tcW w:w="683"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108" w:type="dxa"/>
              <w:top w:w="0" w:type="dxa"/>
              <w:right w:w="108" w:type="dxa"/>
              <w:bottom w:w="0" w:type="dxa"/>
            </w:tcMar>
            <w:tcW w:w="915" w:type="dxa"/>
            <w:vAlign w:val="top"/>
            <w:textDirection w:val="lrTb"/>
            <w:noWrap w:val="false"/>
          </w:tcPr>
          <w:p>
            <w:pP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108" w:type="dxa"/>
              <w:top w:w="0" w:type="dxa"/>
              <w:right w:w="108" w:type="dxa"/>
              <w:bottom w:w="0" w:type="dxa"/>
            </w:tcMar>
            <w:tcW w:w="1065" w:type="dxa"/>
            <w:vAlign w:val="top"/>
            <w:textDirection w:val="lrTb"/>
            <w:noWrap w:val="false"/>
          </w:tcPr>
          <w:p>
            <w:pP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108" w:type="dxa"/>
              <w:top w:w="0" w:type="dxa"/>
              <w:right w:w="108" w:type="dxa"/>
              <w:bottom w:w="0" w:type="dxa"/>
            </w:tcMar>
            <w:tcW w:w="1101" w:type="dxa"/>
            <w:vAlign w:val="top"/>
            <w:textDirection w:val="lrTb"/>
            <w:noWrap w:val="false"/>
          </w:tcPr>
          <w:p>
            <w:pP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r>
      <w:tr>
        <w:trPr>
          <w:trHeight w:val="498"/>
        </w:trPr>
        <w:tc>
          <w:tcPr>
            <w:tcMar>
              <w:left w:w="108" w:type="dxa"/>
              <w:top w:w="0" w:type="dxa"/>
              <w:right w:w="108" w:type="dxa"/>
              <w:bottom w:w="0" w:type="dxa"/>
            </w:tcMar>
            <w:tcW w:w="741" w:type="dxa"/>
            <w:vAlign w:val="center"/>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108" w:type="dxa"/>
              <w:top w:w="0" w:type="dxa"/>
              <w:right w:w="108" w:type="dxa"/>
              <w:bottom w:w="0" w:type="dxa"/>
            </w:tcMar>
            <w:tcW w:w="1536" w:type="dxa"/>
            <w:vAlign w:val="center"/>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108" w:type="dxa"/>
              <w:top w:w="0" w:type="dxa"/>
              <w:right w:w="108" w:type="dxa"/>
              <w:bottom w:w="0" w:type="dxa"/>
            </w:tcMar>
            <w:tcW w:w="2219" w:type="dxa"/>
            <w:vAlign w:val="center"/>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108" w:type="dxa"/>
              <w:top w:w="0" w:type="dxa"/>
              <w:right w:w="108" w:type="dxa"/>
              <w:bottom w:w="0" w:type="dxa"/>
            </w:tcMar>
            <w:tcW w:w="1095"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108" w:type="dxa"/>
              <w:top w:w="0" w:type="dxa"/>
              <w:right w:w="108" w:type="dxa"/>
              <w:bottom w:w="0" w:type="dxa"/>
            </w:tcMar>
            <w:tcW w:w="683"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108" w:type="dxa"/>
              <w:top w:w="0" w:type="dxa"/>
              <w:right w:w="108" w:type="dxa"/>
              <w:bottom w:w="0" w:type="dxa"/>
            </w:tcMar>
            <w:tcW w:w="915" w:type="dxa"/>
            <w:vAlign w:val="top"/>
            <w:textDirection w:val="lrTb"/>
            <w:noWrap w:val="false"/>
          </w:tcPr>
          <w:p>
            <w:pP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108" w:type="dxa"/>
              <w:top w:w="0" w:type="dxa"/>
              <w:right w:w="108" w:type="dxa"/>
              <w:bottom w:w="0" w:type="dxa"/>
            </w:tcMar>
            <w:tcW w:w="1065" w:type="dxa"/>
            <w:vAlign w:val="top"/>
            <w:textDirection w:val="lrTb"/>
            <w:noWrap w:val="false"/>
          </w:tcPr>
          <w:p>
            <w:pP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108" w:type="dxa"/>
              <w:top w:w="0" w:type="dxa"/>
              <w:right w:w="108" w:type="dxa"/>
              <w:bottom w:w="0" w:type="dxa"/>
            </w:tcMar>
            <w:tcW w:w="1101" w:type="dxa"/>
            <w:vAlign w:val="top"/>
            <w:textDirection w:val="lrTb"/>
            <w:noWrap w:val="false"/>
          </w:tcPr>
          <w:p>
            <w:pP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r>
      <w:tr>
        <w:trPr>
          <w:trHeight w:val="498"/>
        </w:trPr>
        <w:tc>
          <w:tcPr>
            <w:tcMar>
              <w:left w:w="108" w:type="dxa"/>
              <w:top w:w="0" w:type="dxa"/>
              <w:right w:w="108" w:type="dxa"/>
              <w:bottom w:w="0" w:type="dxa"/>
            </w:tcMar>
            <w:tcW w:w="741" w:type="dxa"/>
            <w:vAlign w:val="center"/>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108" w:type="dxa"/>
              <w:top w:w="0" w:type="dxa"/>
              <w:right w:w="108" w:type="dxa"/>
              <w:bottom w:w="0" w:type="dxa"/>
            </w:tcMar>
            <w:tcW w:w="1536" w:type="dxa"/>
            <w:vAlign w:val="center"/>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108" w:type="dxa"/>
              <w:top w:w="0" w:type="dxa"/>
              <w:right w:w="108" w:type="dxa"/>
              <w:bottom w:w="0" w:type="dxa"/>
            </w:tcMar>
            <w:tcW w:w="2219" w:type="dxa"/>
            <w:vAlign w:val="center"/>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108" w:type="dxa"/>
              <w:top w:w="0" w:type="dxa"/>
              <w:right w:w="108" w:type="dxa"/>
              <w:bottom w:w="0" w:type="dxa"/>
            </w:tcMar>
            <w:tcW w:w="1095"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108" w:type="dxa"/>
              <w:top w:w="0" w:type="dxa"/>
              <w:right w:w="108" w:type="dxa"/>
              <w:bottom w:w="0" w:type="dxa"/>
            </w:tcMar>
            <w:tcW w:w="683"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108" w:type="dxa"/>
              <w:top w:w="0" w:type="dxa"/>
              <w:right w:w="108" w:type="dxa"/>
              <w:bottom w:w="0" w:type="dxa"/>
            </w:tcMar>
            <w:tcW w:w="915" w:type="dxa"/>
            <w:vAlign w:val="top"/>
            <w:textDirection w:val="lrTb"/>
            <w:noWrap w:val="false"/>
          </w:tcPr>
          <w:p>
            <w:pP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108" w:type="dxa"/>
              <w:top w:w="0" w:type="dxa"/>
              <w:right w:w="108" w:type="dxa"/>
              <w:bottom w:w="0" w:type="dxa"/>
            </w:tcMar>
            <w:tcW w:w="1065" w:type="dxa"/>
            <w:vAlign w:val="top"/>
            <w:textDirection w:val="lrTb"/>
            <w:noWrap w:val="false"/>
          </w:tcPr>
          <w:p>
            <w:pP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108" w:type="dxa"/>
              <w:top w:w="0" w:type="dxa"/>
              <w:right w:w="108" w:type="dxa"/>
              <w:bottom w:w="0" w:type="dxa"/>
            </w:tcMar>
            <w:tcW w:w="1101" w:type="dxa"/>
            <w:vAlign w:val="top"/>
            <w:textDirection w:val="lrTb"/>
            <w:noWrap w:val="false"/>
          </w:tcPr>
          <w:p>
            <w:pP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r>
      <w:tr>
        <w:trPr>
          <w:trHeight w:val="498"/>
        </w:trPr>
        <w:tc>
          <w:tcPr>
            <w:gridSpan w:val="5"/>
            <w:tcMar>
              <w:left w:w="108" w:type="dxa"/>
              <w:top w:w="0" w:type="dxa"/>
              <w:right w:w="108" w:type="dxa"/>
              <w:bottom w:w="0" w:type="dxa"/>
            </w:tcMar>
            <w:tcW w:w="6274" w:type="dxa"/>
            <w:vAlign w:val="center"/>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合计总价</w:t>
            </w:r>
            <w:r/>
          </w:p>
        </w:tc>
        <w:tc>
          <w:tcPr>
            <w:gridSpan w:val="3"/>
            <w:tcMar>
              <w:left w:w="108" w:type="dxa"/>
              <w:top w:w="0" w:type="dxa"/>
              <w:right w:w="108" w:type="dxa"/>
              <w:bottom w:w="0" w:type="dxa"/>
            </w:tcMar>
            <w:tcW w:w="3081"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元</w:t>
            </w:r>
            <w:r/>
          </w:p>
        </w:tc>
      </w:tr>
    </w:tbl>
    <w:p>
      <w:pPr>
        <w:ind w:firstLine="420"/>
        <w:jc w:val="both"/>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p>
      <w:pPr>
        <w:spacing w:before="240" w:after="240" w:line="85" w:lineRule="atLeast"/>
        <w:shd w:val="clear" w:color="ffffff" w:fill="ffffff"/>
        <w:rPr>
          <w:rFonts w:hint="eastAsia" w:ascii="宋体" w:hAnsi="宋体" w:eastAsia="宋体" w:cs="宋体"/>
          <w:color w:val="000000"/>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供应商</w:t>
      </w:r>
      <w:r>
        <w:rPr>
          <w:rFonts w:hint="eastAsia" w:ascii="宋体" w:hAnsi="宋体" w:eastAsia="宋体" w:cs="宋体"/>
          <w:color w:val="000000"/>
          <w:highlight w:val="none"/>
        </w:rPr>
        <w:t xml:space="preserve">（盖章）：</w:t>
      </w:r>
      <w:r>
        <w:rPr>
          <w:rFonts w:hint="eastAsia" w:ascii="宋体" w:hAnsi="宋体" w:eastAsia="宋体" w:cs="宋体"/>
          <w:color w:val="000000"/>
          <w:highlight w:val="none"/>
          <w:u w:val="single"/>
        </w:rPr>
        <w:t xml:space="preserve">                </w:t>
      </w:r>
      <w:r/>
    </w:p>
    <w:p>
      <w:pPr>
        <w:spacing w:before="240" w:after="240" w:line="85" w:lineRule="atLeast"/>
        <w:shd w:val="clear" w:color="ffffff" w:fill="ffff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日期：</w:t>
      </w:r>
      <w:r>
        <w:rPr>
          <w:rFonts w:hint="eastAsia" w:ascii="宋体" w:hAnsi="宋体" w:eastAsia="宋体" w:cs="宋体"/>
          <w:color w:val="000000"/>
          <w:highlight w:val="none"/>
          <w:u w:val="single"/>
        </w:rPr>
        <w:t xml:space="preserve">                      </w:t>
      </w:r>
      <w:r/>
    </w:p>
    <w:p>
      <w:pPr>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注：1.此表为表样，行数可自行添加。</w:t>
      </w:r>
      <w:r/>
    </w:p>
    <w:p>
      <w:pPr>
        <w:ind w:firstLine="420"/>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2.在“是否属于</w:t>
      </w:r>
      <w:r>
        <w:rPr>
          <w:rFonts w:hint="eastAsia" w:ascii="宋体" w:hAnsi="宋体" w:eastAsia="宋体" w:cs="宋体"/>
          <w:color w:val="000000"/>
          <w:highlight w:val="none"/>
          <w:lang w:eastAsia="zh-CN"/>
        </w:rPr>
        <w:t xml:space="preserve">中</w:t>
      </w:r>
      <w:r>
        <w:rPr>
          <w:rFonts w:hint="eastAsia" w:ascii="宋体" w:hAnsi="宋体" w:eastAsia="宋体" w:cs="宋体"/>
          <w:color w:val="000000"/>
          <w:highlight w:val="none"/>
        </w:rPr>
        <w:t xml:space="preserve">小企业制造的货物”栏内，填写“是”或“否”，供应商须根据制造商实际情况如实填写。供应商必须保证承诺使用</w:t>
      </w:r>
      <w:r>
        <w:rPr>
          <w:rFonts w:hint="eastAsia" w:ascii="宋体" w:hAnsi="宋体" w:eastAsia="宋体" w:cs="宋体"/>
          <w:color w:val="000000"/>
          <w:highlight w:val="none"/>
          <w:lang w:eastAsia="zh-CN"/>
        </w:rPr>
        <w:t xml:space="preserve">中、</w:t>
      </w:r>
      <w:r>
        <w:rPr>
          <w:rFonts w:hint="eastAsia" w:ascii="宋体" w:hAnsi="宋体" w:eastAsia="宋体" w:cs="宋体"/>
          <w:color w:val="000000"/>
          <w:highlight w:val="none"/>
        </w:rPr>
        <w:t xml:space="preserve">小</w:t>
      </w:r>
      <w:r>
        <w:rPr>
          <w:rFonts w:hint="eastAsia" w:ascii="宋体" w:hAnsi="宋体" w:eastAsia="宋体" w:cs="宋体"/>
          <w:color w:val="000000"/>
          <w:highlight w:val="none"/>
          <w:lang w:eastAsia="zh-CN"/>
        </w:rPr>
        <w:t xml:space="preserve">、微</w:t>
      </w:r>
      <w:r>
        <w:rPr>
          <w:rFonts w:hint="eastAsia" w:ascii="宋体" w:hAnsi="宋体" w:eastAsia="宋体" w:cs="宋体"/>
          <w:color w:val="000000"/>
          <w:highlight w:val="none"/>
        </w:rPr>
        <w:t xml:space="preserve">型企业参加投标的真实性，如出现虚假响应，一经查实，将按照采购方采购有关法律法规进行处理。</w:t>
      </w:r>
      <w:r/>
    </w:p>
    <w:p>
      <w:pPr>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3.在“是否属于节能、环境标志产品”栏内，填写“是”或“否”，如供应商提供的货物为节能、环境标志产品，则该货物必须为列入《节能产品政府采购品目清单》、《环境标志产品政府采购品目清单》的产品，且以供应商提供经国家确定的认证机构出具的、处于有效期之内的产品认证证书复印件为准，否则不享受节能、环境标志产品优先采购政策。</w:t>
      </w:r>
      <w:r/>
    </w:p>
    <w:p>
      <w:pPr>
        <w:ind w:firstLine="210"/>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4.投标价应包括但不限于完成该项目所有的费用及投标人认为需要的其他相关费用等；每一单项均应计算并填写单价和总价和其相应的单价分项表，并由法定代表人或授权委托代理人签署。投标单位未填单价或总价的项目，在实施后，采购人将不予支付，并视为该项费用已包括在其他有价款的单价或总价内。</w:t>
      </w:r>
      <w:r/>
    </w:p>
    <w:p>
      <w:pPr>
        <w:spacing w:before="240" w:after="240" w:line="85" w:lineRule="atLeast"/>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p>
    <w:p>
      <w:pP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br w:type="page" w:clear="all"/>
      </w:r>
      <w:r/>
    </w:p>
    <w:p>
      <w:pPr>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附件五：技术规格偏离表格式</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技术规格偏离表</w:t>
      </w:r>
      <w:r/>
    </w:p>
    <w:tbl>
      <w:tblPr>
        <w:tblStyle w:val="687"/>
        <w:tblW w:w="9538" w:type="dxa"/>
        <w:tblInd w:w="-16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80" w:type="dxa"/>
          <w:top w:w="80" w:type="dxa"/>
          <w:right w:w="80" w:type="dxa"/>
          <w:bottom w:w="80" w:type="dxa"/>
        </w:tblCellMar>
        <w:tblLook w:val="04A0" w:firstRow="1" w:lastRow="0" w:firstColumn="1" w:lastColumn="0" w:noHBand="0" w:noVBand="1"/>
      </w:tblPr>
      <w:tblGrid>
        <w:gridCol w:w="1158"/>
        <w:gridCol w:w="3785"/>
        <w:gridCol w:w="2936"/>
        <w:gridCol w:w="1659"/>
      </w:tblGrid>
      <w:tr>
        <w:trPr>
          <w:trHeight w:val="993"/>
        </w:trPr>
        <w:tc>
          <w:tcPr>
            <w:tcMar>
              <w:left w:w="80" w:type="dxa"/>
              <w:top w:w="80" w:type="dxa"/>
              <w:right w:w="80" w:type="dxa"/>
              <w:bottom w:w="80" w:type="dxa"/>
            </w:tcMar>
            <w:tcW w:w="1158" w:type="dxa"/>
            <w:vAlign w:val="center"/>
            <w:textDirection w:val="lrTb"/>
            <w:noWrap w:val="false"/>
          </w:tcPr>
          <w:p>
            <w:pPr>
              <w:jc w:val="center"/>
              <w:spacing w:before="200" w:after="20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序号</w:t>
            </w:r>
            <w:r/>
          </w:p>
        </w:tc>
        <w:tc>
          <w:tcPr>
            <w:tcMar>
              <w:left w:w="80" w:type="dxa"/>
              <w:top w:w="80" w:type="dxa"/>
              <w:right w:w="80" w:type="dxa"/>
              <w:bottom w:w="80" w:type="dxa"/>
            </w:tcMar>
            <w:tcW w:w="3785" w:type="dxa"/>
            <w:vAlign w:val="center"/>
            <w:textDirection w:val="lrTb"/>
            <w:noWrap w:val="false"/>
          </w:tcPr>
          <w:p>
            <w:pPr>
              <w:jc w:val="center"/>
              <w:spacing w:before="200" w:after="20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招标要求规格</w:t>
            </w:r>
            <w:r/>
          </w:p>
        </w:tc>
        <w:tc>
          <w:tcPr>
            <w:tcMar>
              <w:left w:w="80" w:type="dxa"/>
              <w:top w:w="80" w:type="dxa"/>
              <w:right w:w="80" w:type="dxa"/>
              <w:bottom w:w="80" w:type="dxa"/>
            </w:tcMar>
            <w:tcW w:w="2936" w:type="dxa"/>
            <w:vAlign w:val="center"/>
            <w:textDirection w:val="lrTb"/>
            <w:noWrap w:val="false"/>
          </w:tcPr>
          <w:p>
            <w:pPr>
              <w:jc w:val="center"/>
              <w:spacing w:before="200" w:after="20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投标响应</w:t>
            </w:r>
            <w:r/>
          </w:p>
        </w:tc>
        <w:tc>
          <w:tcPr>
            <w:tcMar>
              <w:left w:w="80" w:type="dxa"/>
              <w:top w:w="80" w:type="dxa"/>
              <w:right w:w="80" w:type="dxa"/>
              <w:bottom w:w="80" w:type="dxa"/>
            </w:tcMar>
            <w:tcW w:w="1659" w:type="dxa"/>
            <w:vAlign w:val="center"/>
            <w:textDirection w:val="lrTb"/>
            <w:noWrap w:val="false"/>
          </w:tcPr>
          <w:p>
            <w:pPr>
              <w:jc w:val="center"/>
              <w:spacing w:before="200" w:after="20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偏离</w:t>
            </w:r>
            <w:r/>
          </w:p>
        </w:tc>
      </w:tr>
      <w:tr>
        <w:trPr>
          <w:trHeight w:val="797"/>
        </w:trPr>
        <w:tc>
          <w:tcPr>
            <w:tcMar>
              <w:left w:w="80" w:type="dxa"/>
              <w:top w:w="80" w:type="dxa"/>
              <w:right w:w="80" w:type="dxa"/>
              <w:bottom w:w="80" w:type="dxa"/>
            </w:tcMar>
            <w:tcW w:w="1158" w:type="dxa"/>
            <w:vAlign w:val="center"/>
            <w:textDirection w:val="lrTb"/>
            <w:noWrap w:val="false"/>
          </w:tcPr>
          <w:p>
            <w:pPr>
              <w:jc w:val="center"/>
              <w:spacing w:before="200" w:after="20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80" w:type="dxa"/>
              <w:top w:w="80" w:type="dxa"/>
              <w:right w:w="80" w:type="dxa"/>
              <w:bottom w:w="80" w:type="dxa"/>
            </w:tcMar>
            <w:tcW w:w="3785" w:type="dxa"/>
            <w:vAlign w:val="center"/>
            <w:textDirection w:val="lrTb"/>
            <w:noWrap w:val="false"/>
          </w:tcPr>
          <w:p>
            <w:pPr>
              <w:jc w:val="center"/>
              <w:spacing w:before="200" w:after="20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80" w:type="dxa"/>
              <w:top w:w="80" w:type="dxa"/>
              <w:right w:w="80" w:type="dxa"/>
              <w:bottom w:w="80" w:type="dxa"/>
            </w:tcMar>
            <w:tcW w:w="2936" w:type="dxa"/>
            <w:vAlign w:val="center"/>
            <w:textDirection w:val="lrTb"/>
            <w:noWrap w:val="false"/>
          </w:tcPr>
          <w:p>
            <w:pPr>
              <w:jc w:val="center"/>
              <w:spacing w:before="200" w:after="20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80" w:type="dxa"/>
              <w:top w:w="80" w:type="dxa"/>
              <w:right w:w="80" w:type="dxa"/>
              <w:bottom w:w="80" w:type="dxa"/>
            </w:tcMar>
            <w:tcW w:w="1659" w:type="dxa"/>
            <w:vAlign w:val="center"/>
            <w:textDirection w:val="lrTb"/>
            <w:noWrap w:val="false"/>
          </w:tcPr>
          <w:p>
            <w:pPr>
              <w:jc w:val="center"/>
              <w:spacing w:before="200" w:after="20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r>
      <w:tr>
        <w:trPr>
          <w:trHeight w:val="787"/>
        </w:trPr>
        <w:tc>
          <w:tcPr>
            <w:tcMar>
              <w:left w:w="80" w:type="dxa"/>
              <w:top w:w="80" w:type="dxa"/>
              <w:right w:w="80" w:type="dxa"/>
              <w:bottom w:w="80" w:type="dxa"/>
            </w:tcMar>
            <w:tcW w:w="1158" w:type="dxa"/>
            <w:vAlign w:val="center"/>
            <w:textDirection w:val="lrTb"/>
            <w:noWrap w:val="false"/>
          </w:tcPr>
          <w:p>
            <w:pPr>
              <w:jc w:val="center"/>
              <w:spacing w:before="200" w:after="20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80" w:type="dxa"/>
              <w:top w:w="80" w:type="dxa"/>
              <w:right w:w="80" w:type="dxa"/>
              <w:bottom w:w="80" w:type="dxa"/>
            </w:tcMar>
            <w:tcW w:w="3785" w:type="dxa"/>
            <w:vAlign w:val="center"/>
            <w:textDirection w:val="lrTb"/>
            <w:noWrap w:val="false"/>
          </w:tcPr>
          <w:p>
            <w:pPr>
              <w:jc w:val="center"/>
              <w:spacing w:before="200" w:after="20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80" w:type="dxa"/>
              <w:top w:w="80" w:type="dxa"/>
              <w:right w:w="80" w:type="dxa"/>
              <w:bottom w:w="80" w:type="dxa"/>
            </w:tcMar>
            <w:tcW w:w="2936" w:type="dxa"/>
            <w:vAlign w:val="center"/>
            <w:textDirection w:val="lrTb"/>
            <w:noWrap w:val="false"/>
          </w:tcPr>
          <w:p>
            <w:pPr>
              <w:jc w:val="center"/>
              <w:spacing w:before="200" w:after="20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80" w:type="dxa"/>
              <w:top w:w="80" w:type="dxa"/>
              <w:right w:w="80" w:type="dxa"/>
              <w:bottom w:w="80" w:type="dxa"/>
            </w:tcMar>
            <w:tcW w:w="1659" w:type="dxa"/>
            <w:vAlign w:val="center"/>
            <w:textDirection w:val="lrTb"/>
            <w:noWrap w:val="false"/>
          </w:tcPr>
          <w:p>
            <w:pPr>
              <w:jc w:val="center"/>
              <w:spacing w:before="200" w:after="20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r>
      <w:tr>
        <w:trPr>
          <w:trHeight w:val="806"/>
        </w:trPr>
        <w:tc>
          <w:tcPr>
            <w:tcMar>
              <w:left w:w="80" w:type="dxa"/>
              <w:top w:w="80" w:type="dxa"/>
              <w:right w:w="80" w:type="dxa"/>
              <w:bottom w:w="80" w:type="dxa"/>
            </w:tcMar>
            <w:tcW w:w="1158" w:type="dxa"/>
            <w:vAlign w:val="center"/>
            <w:textDirection w:val="lrTb"/>
            <w:noWrap w:val="false"/>
          </w:tcPr>
          <w:p>
            <w:pPr>
              <w:jc w:val="center"/>
              <w:spacing w:before="200" w:after="20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80" w:type="dxa"/>
              <w:top w:w="80" w:type="dxa"/>
              <w:right w:w="80" w:type="dxa"/>
              <w:bottom w:w="80" w:type="dxa"/>
            </w:tcMar>
            <w:tcW w:w="3785" w:type="dxa"/>
            <w:vAlign w:val="center"/>
            <w:textDirection w:val="lrTb"/>
            <w:noWrap w:val="false"/>
          </w:tcPr>
          <w:p>
            <w:pPr>
              <w:jc w:val="center"/>
              <w:spacing w:before="200" w:after="20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80" w:type="dxa"/>
              <w:top w:w="80" w:type="dxa"/>
              <w:right w:w="80" w:type="dxa"/>
              <w:bottom w:w="80" w:type="dxa"/>
            </w:tcMar>
            <w:tcW w:w="2936" w:type="dxa"/>
            <w:vAlign w:val="center"/>
            <w:textDirection w:val="lrTb"/>
            <w:noWrap w:val="false"/>
          </w:tcPr>
          <w:p>
            <w:pPr>
              <w:jc w:val="center"/>
              <w:spacing w:before="200" w:after="20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80" w:type="dxa"/>
              <w:top w:w="80" w:type="dxa"/>
              <w:right w:w="80" w:type="dxa"/>
              <w:bottom w:w="80" w:type="dxa"/>
            </w:tcMar>
            <w:tcW w:w="1659" w:type="dxa"/>
            <w:vAlign w:val="center"/>
            <w:textDirection w:val="lrTb"/>
            <w:noWrap w:val="false"/>
          </w:tcPr>
          <w:p>
            <w:pPr>
              <w:jc w:val="center"/>
              <w:spacing w:before="200" w:after="20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r>
    </w:tbl>
    <w:p>
      <w:pPr>
        <w:spacing w:before="240" w:after="240" w:line="85" w:lineRule="atLeast"/>
        <w:shd w:val="clear" w:color="ffffff" w:fill="ffff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供应商</w:t>
      </w:r>
      <w:r>
        <w:rPr>
          <w:rFonts w:hint="eastAsia" w:ascii="宋体" w:hAnsi="宋体" w:eastAsia="宋体" w:cs="宋体"/>
          <w:color w:val="000000"/>
          <w:highlight w:val="none"/>
        </w:rPr>
        <w:t xml:space="preserve">（盖章）：</w:t>
      </w:r>
      <w:r>
        <w:rPr>
          <w:rFonts w:hint="eastAsia" w:ascii="宋体" w:hAnsi="宋体" w:eastAsia="宋体" w:cs="宋体"/>
          <w:color w:val="000000"/>
          <w:highlight w:val="none"/>
          <w:u w:val="single"/>
        </w:rPr>
        <w:t xml:space="preserve">                </w:t>
      </w:r>
      <w:r/>
    </w:p>
    <w:p>
      <w:pPr>
        <w:spacing w:before="240" w:after="240" w:line="85" w:lineRule="atLeast"/>
        <w:shd w:val="clear" w:color="ffffff" w:fill="ffff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日期：</w:t>
      </w:r>
      <w:r>
        <w:rPr>
          <w:rFonts w:hint="eastAsia" w:ascii="宋体" w:hAnsi="宋体" w:eastAsia="宋体" w:cs="宋体"/>
          <w:color w:val="000000"/>
          <w:highlight w:val="none"/>
          <w:u w:val="single"/>
        </w:rPr>
        <w:t xml:space="preserve">                      </w:t>
      </w:r>
      <w:r/>
    </w:p>
    <w:p>
      <w:pPr>
        <w:spacing w:before="240" w:after="240" w:line="85" w:lineRule="atLeast"/>
        <w:shd w:val="clear" w:color="ffffff" w:fill="ffff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说明：</w:t>
      </w:r>
      <w:r/>
    </w:p>
    <w:p>
      <w:pPr>
        <w:spacing w:line="85" w:lineRule="atLeast"/>
        <w:shd w:val="clear" w:color="ffffff" w:fill="ffff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1.供应商应在上表中明确投标文件技术部分与招标文件要求的技术要求偏离情况，未在上表中说明的，如在投标文件其他内容中已有文字说明或相关证明材料的，则以已有文字说明或相关证明材料为准。</w:t>
      </w:r>
      <w:r/>
    </w:p>
    <w:p>
      <w:pPr>
        <w:spacing w:before="240" w:after="240" w:line="85" w:lineRule="atLeast"/>
        <w:shd w:val="clear" w:color="ffffff" w:fill="ffff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2.如果行数不够，请自行增加。</w:t>
      </w:r>
      <w:r/>
    </w:p>
    <w:p>
      <w:pPr>
        <w:spacing w:before="240" w:after="240" w:line="85" w:lineRule="atLeast"/>
        <w:shd w:val="clear" w:color="ffffff" w:fill="ffff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p>
    <w:p>
      <w:pPr>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p>
    <w:p>
      <w:pPr>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p>
    <w:p>
      <w:pPr>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p>
    <w:p>
      <w:pPr>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p>
    <w:p>
      <w:pPr>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p>
    <w:p>
      <w:pPr>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p>
    <w:p>
      <w:pP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附件六：商务条款偏离表格式</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商务条款偏离表</w:t>
      </w:r>
      <w:r/>
    </w:p>
    <w:tbl>
      <w:tblPr>
        <w:tblStyle w:val="687"/>
        <w:tblW w:w="0" w:type="auto"/>
        <w:tblInd w:w="-16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80" w:type="dxa"/>
          <w:top w:w="80" w:type="dxa"/>
          <w:right w:w="80" w:type="dxa"/>
          <w:bottom w:w="80" w:type="dxa"/>
        </w:tblCellMar>
        <w:tblLook w:val="04A0" w:firstRow="1" w:lastRow="0" w:firstColumn="1" w:lastColumn="0" w:noHBand="0" w:noVBand="1"/>
      </w:tblPr>
      <w:tblGrid>
        <w:gridCol w:w="1808"/>
        <w:gridCol w:w="2564"/>
        <w:gridCol w:w="1426"/>
        <w:gridCol w:w="2012"/>
        <w:gridCol w:w="1544"/>
      </w:tblGrid>
      <w:tr>
        <w:trPr>
          <w:trHeight w:val="870"/>
        </w:trPr>
        <w:tc>
          <w:tcPr>
            <w:tcMar>
              <w:left w:w="80" w:type="dxa"/>
              <w:top w:w="80" w:type="dxa"/>
              <w:right w:w="80" w:type="dxa"/>
              <w:bottom w:w="80" w:type="dxa"/>
            </w:tcMar>
            <w:tcW w:w="1808" w:type="dxa"/>
            <w:vAlign w:val="center"/>
            <w:textDirection w:val="lrTb"/>
            <w:noWrap w:val="false"/>
          </w:tcPr>
          <w:p>
            <w:pPr>
              <w:jc w:val="center"/>
              <w:spacing w:before="200" w:after="20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序号</w:t>
            </w:r>
            <w:r/>
          </w:p>
        </w:tc>
        <w:tc>
          <w:tcPr>
            <w:tcMar>
              <w:left w:w="80" w:type="dxa"/>
              <w:top w:w="80" w:type="dxa"/>
              <w:right w:w="80" w:type="dxa"/>
              <w:bottom w:w="80" w:type="dxa"/>
            </w:tcMar>
            <w:tcW w:w="2564" w:type="dxa"/>
            <w:vAlign w:val="center"/>
            <w:textDirection w:val="lrTb"/>
            <w:noWrap w:val="false"/>
          </w:tcPr>
          <w:p>
            <w:pPr>
              <w:jc w:val="center"/>
              <w:spacing w:before="200" w:after="20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招标文件要求的商务条款</w:t>
            </w:r>
            <w:r/>
          </w:p>
        </w:tc>
        <w:tc>
          <w:tcPr>
            <w:gridSpan w:val="2"/>
            <w:tcMar>
              <w:left w:w="80" w:type="dxa"/>
              <w:top w:w="80" w:type="dxa"/>
              <w:right w:w="80" w:type="dxa"/>
              <w:bottom w:w="80" w:type="dxa"/>
            </w:tcMar>
            <w:tcW w:w="3438" w:type="dxa"/>
            <w:vAlign w:val="center"/>
            <w:textDirection w:val="lrTb"/>
            <w:noWrap w:val="false"/>
          </w:tcPr>
          <w:p>
            <w:pPr>
              <w:jc w:val="center"/>
              <w:spacing w:before="200" w:after="20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投标响应</w:t>
            </w:r>
            <w:r/>
          </w:p>
        </w:tc>
        <w:tc>
          <w:tcPr>
            <w:tcMar>
              <w:left w:w="80" w:type="dxa"/>
              <w:top w:w="80" w:type="dxa"/>
              <w:right w:w="80" w:type="dxa"/>
              <w:bottom w:w="80" w:type="dxa"/>
            </w:tcMar>
            <w:tcW w:w="1544" w:type="dxa"/>
            <w:vAlign w:val="center"/>
            <w:textDirection w:val="lrTb"/>
            <w:noWrap w:val="false"/>
          </w:tcPr>
          <w:p>
            <w:pPr>
              <w:jc w:val="center"/>
              <w:spacing w:before="200" w:after="20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偏离</w:t>
            </w:r>
            <w:r/>
          </w:p>
        </w:tc>
      </w:tr>
      <w:tr>
        <w:trPr>
          <w:trHeight w:val="300"/>
        </w:trPr>
        <w:tc>
          <w:tcPr>
            <w:tcMar>
              <w:left w:w="80" w:type="dxa"/>
              <w:top w:w="80" w:type="dxa"/>
              <w:right w:w="80" w:type="dxa"/>
              <w:bottom w:w="80" w:type="dxa"/>
            </w:tcMar>
            <w:tcW w:w="1808" w:type="dxa"/>
            <w:vAlign w:val="center"/>
            <w:textDirection w:val="lrTb"/>
            <w:noWrap w:val="false"/>
          </w:tcPr>
          <w:p>
            <w:pPr>
              <w:jc w:val="center"/>
              <w:spacing w:before="200" w:after="20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80" w:type="dxa"/>
              <w:top w:w="80" w:type="dxa"/>
              <w:right w:w="80" w:type="dxa"/>
              <w:bottom w:w="80" w:type="dxa"/>
            </w:tcMar>
            <w:tcW w:w="2564" w:type="dxa"/>
            <w:vAlign w:val="center"/>
            <w:textDirection w:val="lrTb"/>
            <w:noWrap w:val="false"/>
          </w:tcPr>
          <w:p>
            <w:pPr>
              <w:jc w:val="center"/>
              <w:spacing w:before="200" w:after="20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tc>
        <w:tc>
          <w:tcPr>
            <w:gridSpan w:val="2"/>
            <w:tcMar>
              <w:left w:w="80" w:type="dxa"/>
              <w:top w:w="80" w:type="dxa"/>
              <w:right w:w="80" w:type="dxa"/>
              <w:bottom w:w="80" w:type="dxa"/>
            </w:tcMar>
            <w:tcW w:w="3438" w:type="dxa"/>
            <w:vAlign w:val="center"/>
            <w:textDirection w:val="lrTb"/>
            <w:noWrap w:val="false"/>
          </w:tcPr>
          <w:p>
            <w:pPr>
              <w:jc w:val="center"/>
              <w:spacing w:before="200" w:after="20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80" w:type="dxa"/>
              <w:top w:w="80" w:type="dxa"/>
              <w:right w:w="80" w:type="dxa"/>
              <w:bottom w:w="80" w:type="dxa"/>
            </w:tcMar>
            <w:tcW w:w="1544" w:type="dxa"/>
            <w:vAlign w:val="center"/>
            <w:textDirection w:val="lrTb"/>
            <w:noWrap w:val="false"/>
          </w:tcPr>
          <w:p>
            <w:pPr>
              <w:jc w:val="center"/>
              <w:spacing w:before="200" w:after="20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r>
      <w:tr>
        <w:trPr>
          <w:trHeight w:val="300"/>
        </w:trPr>
        <w:tc>
          <w:tcPr>
            <w:tcMar>
              <w:left w:w="80" w:type="dxa"/>
              <w:top w:w="80" w:type="dxa"/>
              <w:right w:w="80" w:type="dxa"/>
              <w:bottom w:w="80" w:type="dxa"/>
            </w:tcMar>
            <w:tcW w:w="1808" w:type="dxa"/>
            <w:vAlign w:val="center"/>
            <w:textDirection w:val="lrTb"/>
            <w:noWrap w:val="false"/>
          </w:tcPr>
          <w:p>
            <w:pPr>
              <w:jc w:val="center"/>
              <w:spacing w:before="200" w:after="20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tc>
        <w:tc>
          <w:tcPr>
            <w:tcMar>
              <w:left w:w="80" w:type="dxa"/>
              <w:top w:w="80" w:type="dxa"/>
              <w:right w:w="80" w:type="dxa"/>
              <w:bottom w:w="80" w:type="dxa"/>
            </w:tcMar>
            <w:tcW w:w="2564" w:type="dxa"/>
            <w:vAlign w:val="center"/>
            <w:textDirection w:val="lrTb"/>
            <w:noWrap w:val="false"/>
          </w:tcPr>
          <w:p>
            <w:pPr>
              <w:jc w:val="center"/>
              <w:spacing w:before="200" w:after="20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tc>
        <w:tc>
          <w:tcPr>
            <w:gridSpan w:val="2"/>
            <w:tcMar>
              <w:left w:w="80" w:type="dxa"/>
              <w:top w:w="80" w:type="dxa"/>
              <w:right w:w="80" w:type="dxa"/>
              <w:bottom w:w="80" w:type="dxa"/>
            </w:tcMar>
            <w:tcW w:w="3438" w:type="dxa"/>
            <w:vAlign w:val="center"/>
            <w:textDirection w:val="lrTb"/>
            <w:noWrap w:val="false"/>
          </w:tcPr>
          <w:p>
            <w:pPr>
              <w:jc w:val="center"/>
              <w:spacing w:before="200" w:after="20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tc>
        <w:tc>
          <w:tcPr>
            <w:tcMar>
              <w:left w:w="80" w:type="dxa"/>
              <w:top w:w="80" w:type="dxa"/>
              <w:right w:w="80" w:type="dxa"/>
              <w:bottom w:w="80" w:type="dxa"/>
            </w:tcMar>
            <w:tcW w:w="1544" w:type="dxa"/>
            <w:vAlign w:val="center"/>
            <w:textDirection w:val="lrTb"/>
            <w:noWrap w:val="false"/>
          </w:tcPr>
          <w:p>
            <w:pPr>
              <w:jc w:val="center"/>
              <w:spacing w:before="200" w:after="20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tc>
      </w:tr>
      <w:tr>
        <w:trPr>
          <w:trHeight w:val="300"/>
        </w:trPr>
        <w:tc>
          <w:tcPr>
            <w:tcMar>
              <w:left w:w="80" w:type="dxa"/>
              <w:top w:w="80" w:type="dxa"/>
              <w:right w:w="80" w:type="dxa"/>
              <w:bottom w:w="80" w:type="dxa"/>
            </w:tcMar>
            <w:tcW w:w="1808" w:type="dxa"/>
            <w:vAlign w:val="center"/>
            <w:textDirection w:val="lrTb"/>
            <w:noWrap w:val="false"/>
          </w:tcPr>
          <w:p>
            <w:pPr>
              <w:jc w:val="center"/>
              <w:spacing w:before="200" w:after="20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tc>
        <w:tc>
          <w:tcPr>
            <w:tcMar>
              <w:left w:w="80" w:type="dxa"/>
              <w:top w:w="80" w:type="dxa"/>
              <w:right w:w="80" w:type="dxa"/>
              <w:bottom w:w="80" w:type="dxa"/>
            </w:tcMar>
            <w:tcW w:w="2564" w:type="dxa"/>
            <w:vAlign w:val="center"/>
            <w:textDirection w:val="lrTb"/>
            <w:noWrap w:val="false"/>
          </w:tcPr>
          <w:p>
            <w:pPr>
              <w:jc w:val="center"/>
              <w:spacing w:before="200" w:after="20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tc>
        <w:tc>
          <w:tcPr>
            <w:gridSpan w:val="2"/>
            <w:tcMar>
              <w:left w:w="80" w:type="dxa"/>
              <w:top w:w="80" w:type="dxa"/>
              <w:right w:w="80" w:type="dxa"/>
              <w:bottom w:w="80" w:type="dxa"/>
            </w:tcMar>
            <w:tcW w:w="3438" w:type="dxa"/>
            <w:vAlign w:val="center"/>
            <w:textDirection w:val="lrTb"/>
            <w:noWrap w:val="false"/>
          </w:tcPr>
          <w:p>
            <w:pPr>
              <w:jc w:val="center"/>
              <w:spacing w:before="200" w:after="20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tc>
        <w:tc>
          <w:tcPr>
            <w:tcMar>
              <w:left w:w="80" w:type="dxa"/>
              <w:top w:w="80" w:type="dxa"/>
              <w:right w:w="80" w:type="dxa"/>
              <w:bottom w:w="80" w:type="dxa"/>
            </w:tcMar>
            <w:tcW w:w="1544" w:type="dxa"/>
            <w:vAlign w:val="center"/>
            <w:textDirection w:val="lrTb"/>
            <w:noWrap w:val="false"/>
          </w:tcPr>
          <w:p>
            <w:pPr>
              <w:jc w:val="center"/>
              <w:spacing w:before="200" w:after="20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tc>
      </w:tr>
      <w:tr>
        <w:trPr>
          <w:trHeight w:val="300"/>
        </w:trPr>
        <w:tc>
          <w:tcPr>
            <w:tcMar>
              <w:left w:w="80" w:type="dxa"/>
              <w:top w:w="80" w:type="dxa"/>
              <w:right w:w="80" w:type="dxa"/>
              <w:bottom w:w="80" w:type="dxa"/>
            </w:tcMar>
            <w:tcW w:w="1808" w:type="dxa"/>
            <w:vAlign w:val="center"/>
            <w:textDirection w:val="lrTb"/>
            <w:noWrap w:val="false"/>
          </w:tcPr>
          <w:p>
            <w:pPr>
              <w:jc w:val="center"/>
              <w:spacing w:before="200" w:after="20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80" w:type="dxa"/>
              <w:top w:w="80" w:type="dxa"/>
              <w:right w:w="80" w:type="dxa"/>
              <w:bottom w:w="80" w:type="dxa"/>
            </w:tcMar>
            <w:tcW w:w="2564" w:type="dxa"/>
            <w:vAlign w:val="center"/>
            <w:textDirection w:val="lrTb"/>
            <w:noWrap w:val="false"/>
          </w:tcPr>
          <w:p>
            <w:pPr>
              <w:jc w:val="center"/>
              <w:spacing w:before="200" w:after="20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tc>
        <w:tc>
          <w:tcPr>
            <w:gridSpan w:val="2"/>
            <w:tcMar>
              <w:left w:w="80" w:type="dxa"/>
              <w:top w:w="80" w:type="dxa"/>
              <w:right w:w="80" w:type="dxa"/>
              <w:bottom w:w="80" w:type="dxa"/>
            </w:tcMar>
            <w:tcW w:w="3438" w:type="dxa"/>
            <w:vAlign w:val="center"/>
            <w:textDirection w:val="lrTb"/>
            <w:noWrap w:val="false"/>
          </w:tcPr>
          <w:p>
            <w:pPr>
              <w:jc w:val="center"/>
              <w:spacing w:before="200" w:after="20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80" w:type="dxa"/>
              <w:top w:w="80" w:type="dxa"/>
              <w:right w:w="80" w:type="dxa"/>
              <w:bottom w:w="80" w:type="dxa"/>
            </w:tcMar>
            <w:tcW w:w="1544" w:type="dxa"/>
            <w:vAlign w:val="center"/>
            <w:textDirection w:val="lrTb"/>
            <w:noWrap w:val="false"/>
          </w:tcPr>
          <w:p>
            <w:pPr>
              <w:jc w:val="center"/>
              <w:spacing w:before="200" w:after="20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r>
      <w:tr>
        <w:trPr>
          <w:trHeight w:val="300"/>
        </w:trPr>
        <w:tc>
          <w:tcPr>
            <w:tcMar>
              <w:left w:w="80" w:type="dxa"/>
              <w:top w:w="80" w:type="dxa"/>
              <w:right w:w="80" w:type="dxa"/>
              <w:bottom w:w="80" w:type="dxa"/>
            </w:tcMar>
            <w:tcW w:w="1808" w:type="dxa"/>
            <w:vAlign w:val="center"/>
            <w:textDirection w:val="lrTb"/>
            <w:noWrap w:val="false"/>
          </w:tcPr>
          <w:p>
            <w:pPr>
              <w:jc w:val="center"/>
              <w:spacing w:before="200" w:after="20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80" w:type="dxa"/>
              <w:top w:w="80" w:type="dxa"/>
              <w:right w:w="80" w:type="dxa"/>
              <w:bottom w:w="80" w:type="dxa"/>
            </w:tcMar>
            <w:tcW w:w="2564" w:type="dxa"/>
            <w:vAlign w:val="center"/>
            <w:textDirection w:val="lrTb"/>
            <w:noWrap w:val="false"/>
          </w:tcPr>
          <w:p>
            <w:pPr>
              <w:jc w:val="center"/>
              <w:spacing w:before="200" w:after="20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tc>
        <w:tc>
          <w:tcPr>
            <w:gridSpan w:val="2"/>
            <w:tcMar>
              <w:left w:w="80" w:type="dxa"/>
              <w:top w:w="80" w:type="dxa"/>
              <w:right w:w="80" w:type="dxa"/>
              <w:bottom w:w="80" w:type="dxa"/>
            </w:tcMar>
            <w:tcW w:w="3438" w:type="dxa"/>
            <w:vAlign w:val="center"/>
            <w:textDirection w:val="lrTb"/>
            <w:noWrap w:val="false"/>
          </w:tcPr>
          <w:p>
            <w:pPr>
              <w:jc w:val="center"/>
              <w:spacing w:before="200" w:after="20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80" w:type="dxa"/>
              <w:top w:w="80" w:type="dxa"/>
              <w:right w:w="80" w:type="dxa"/>
              <w:bottom w:w="80" w:type="dxa"/>
            </w:tcMar>
            <w:tcW w:w="1544" w:type="dxa"/>
            <w:vAlign w:val="center"/>
            <w:textDirection w:val="lrTb"/>
            <w:noWrap w:val="false"/>
          </w:tcPr>
          <w:p>
            <w:pPr>
              <w:jc w:val="center"/>
              <w:spacing w:before="200" w:after="20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r>
      <w:tr>
        <w:trPr>
          <w:trHeight w:val="300"/>
        </w:trPr>
        <w:tc>
          <w:tcPr>
            <w:tcMar>
              <w:left w:w="80" w:type="dxa"/>
              <w:top w:w="80" w:type="dxa"/>
              <w:right w:w="80" w:type="dxa"/>
              <w:bottom w:w="80" w:type="dxa"/>
            </w:tcMar>
            <w:tcW w:w="1808" w:type="dxa"/>
            <w:vAlign w:val="center"/>
            <w:textDirection w:val="lrTb"/>
            <w:noWrap w:val="false"/>
          </w:tcPr>
          <w:p>
            <w:pPr>
              <w:spacing w:before="200" w:after="20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80" w:type="dxa"/>
              <w:top w:w="80" w:type="dxa"/>
              <w:right w:w="80" w:type="dxa"/>
              <w:bottom w:w="80" w:type="dxa"/>
            </w:tcMar>
            <w:tcW w:w="2564" w:type="dxa"/>
            <w:vAlign w:val="center"/>
            <w:textDirection w:val="lrTb"/>
            <w:noWrap w:val="false"/>
          </w:tcPr>
          <w:p>
            <w:pPr>
              <w:spacing w:before="200" w:after="20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gridSpan w:val="2"/>
            <w:tcMar>
              <w:left w:w="80" w:type="dxa"/>
              <w:top w:w="80" w:type="dxa"/>
              <w:right w:w="80" w:type="dxa"/>
              <w:bottom w:w="80" w:type="dxa"/>
            </w:tcMar>
            <w:tcW w:w="3438" w:type="dxa"/>
            <w:vAlign w:val="center"/>
            <w:textDirection w:val="lrTb"/>
            <w:noWrap w:val="false"/>
          </w:tcPr>
          <w:p>
            <w:pPr>
              <w:spacing w:before="200" w:after="20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80" w:type="dxa"/>
              <w:top w:w="80" w:type="dxa"/>
              <w:right w:w="80" w:type="dxa"/>
              <w:bottom w:w="80" w:type="dxa"/>
            </w:tcMar>
            <w:tcW w:w="1544" w:type="dxa"/>
            <w:vAlign w:val="center"/>
            <w:textDirection w:val="lrTb"/>
            <w:noWrap w:val="false"/>
          </w:tcPr>
          <w:p>
            <w:pPr>
              <w:spacing w:before="200" w:after="20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r>
      <w:tr>
        <w:trPr>
          <w:trHeight w:val="300"/>
        </w:trPr>
        <w:tc>
          <w:tcPr>
            <w:tcMar>
              <w:left w:w="80" w:type="dxa"/>
              <w:top w:w="80" w:type="dxa"/>
              <w:right w:w="80" w:type="dxa"/>
              <w:bottom w:w="80" w:type="dxa"/>
            </w:tcMar>
            <w:tcW w:w="1808" w:type="dxa"/>
            <w:vAlign w:val="center"/>
            <w:textDirection w:val="lrTb"/>
            <w:noWrap w:val="false"/>
          </w:tcPr>
          <w:p>
            <w:pP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80" w:type="dxa"/>
              <w:top w:w="80" w:type="dxa"/>
              <w:right w:w="80" w:type="dxa"/>
              <w:bottom w:w="80" w:type="dxa"/>
            </w:tcMar>
            <w:tcW w:w="2564" w:type="dxa"/>
            <w:vAlign w:val="center"/>
            <w:textDirection w:val="lrTb"/>
            <w:noWrap w:val="false"/>
          </w:tcPr>
          <w:p>
            <w:pP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80" w:type="dxa"/>
              <w:top w:w="80" w:type="dxa"/>
              <w:right w:w="80" w:type="dxa"/>
              <w:bottom w:w="80" w:type="dxa"/>
            </w:tcMar>
            <w:tcW w:w="1426" w:type="dxa"/>
            <w:vAlign w:val="center"/>
            <w:textDirection w:val="lrTb"/>
            <w:noWrap w:val="false"/>
          </w:tcPr>
          <w:p>
            <w:pP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80" w:type="dxa"/>
              <w:top w:w="80" w:type="dxa"/>
              <w:right w:w="80" w:type="dxa"/>
              <w:bottom w:w="80" w:type="dxa"/>
            </w:tcMar>
            <w:tcW w:w="2012" w:type="dxa"/>
            <w:vAlign w:val="center"/>
            <w:textDirection w:val="lrTb"/>
            <w:noWrap w:val="false"/>
          </w:tcPr>
          <w:p>
            <w:pP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80" w:type="dxa"/>
              <w:top w:w="80" w:type="dxa"/>
              <w:right w:w="80" w:type="dxa"/>
              <w:bottom w:w="80" w:type="dxa"/>
            </w:tcMar>
            <w:tcW w:w="1544" w:type="dxa"/>
            <w:vAlign w:val="center"/>
            <w:textDirection w:val="lrTb"/>
            <w:noWrap w:val="false"/>
          </w:tcPr>
          <w:p>
            <w:pP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r>
    </w:tbl>
    <w:p>
      <w:pPr>
        <w:spacing w:before="240" w:after="240" w:line="85" w:lineRule="atLeast"/>
        <w:shd w:val="clear" w:color="ffffff" w:fill="ffff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供应商</w:t>
      </w:r>
      <w:r>
        <w:rPr>
          <w:rFonts w:hint="eastAsia" w:ascii="宋体" w:hAnsi="宋体" w:eastAsia="宋体" w:cs="宋体"/>
          <w:color w:val="000000"/>
          <w:highlight w:val="none"/>
        </w:rPr>
        <w:t xml:space="preserve">（盖章）：</w:t>
      </w:r>
      <w:r>
        <w:rPr>
          <w:rFonts w:hint="eastAsia" w:ascii="宋体" w:hAnsi="宋体" w:eastAsia="宋体" w:cs="宋体"/>
          <w:color w:val="000000"/>
          <w:highlight w:val="none"/>
          <w:u w:val="single"/>
        </w:rPr>
        <w:t xml:space="preserve">                      </w:t>
      </w:r>
      <w:r/>
    </w:p>
    <w:p>
      <w:pPr>
        <w:spacing w:before="240" w:after="240" w:line="85" w:lineRule="atLeast"/>
        <w:shd w:val="clear" w:color="ffffff" w:fill="ffff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日期：</w:t>
      </w:r>
      <w:r>
        <w:rPr>
          <w:rFonts w:hint="eastAsia" w:ascii="宋体" w:hAnsi="宋体" w:eastAsia="宋体" w:cs="宋体"/>
          <w:color w:val="000000"/>
          <w:highlight w:val="none"/>
          <w:u w:val="single"/>
        </w:rPr>
        <w:t xml:space="preserve">                      </w:t>
      </w:r>
      <w:r/>
    </w:p>
    <w:p>
      <w:pPr>
        <w:spacing w:before="240" w:after="240" w:line="85" w:lineRule="atLeast"/>
        <w:shd w:val="clear" w:color="ffffff" w:fill="ffff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1.供应商应在上表中明确投标文件商务部分与招标文件要求的商务要求偏离情况，未在上表中说明的，如在投标文件其他内容中已有文字说明或相关证明材料的，则以已有文字说明或相关证明材料为准。</w:t>
      </w:r>
      <w:r/>
    </w:p>
    <w:p>
      <w:pPr>
        <w:spacing w:before="240" w:after="240" w:line="85" w:lineRule="atLeast"/>
        <w:shd w:val="clear" w:color="ffffff" w:fill="ffff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2.说明：如果行数不够，请自行增加。</w:t>
      </w:r>
      <w:r/>
    </w:p>
    <w:p>
      <w:pPr>
        <w:spacing w:before="240" w:after="240" w:line="85" w:lineRule="atLeast"/>
        <w:shd w:val="clear" w:color="ffffff" w:fill="ffff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spacing w:before="240" w:after="240" w:line="85" w:lineRule="atLeast"/>
        <w:shd w:val="clear" w:color="ffffff" w:fill="ffff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p>
    <w:p>
      <w:pPr>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p>
    <w:p>
      <w:pPr>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p>
    <w:p>
      <w:pPr>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pStyle w:val="787"/>
        <w:ind w:firstLine="0"/>
        <w:rPr>
          <w:rFonts w:hint="eastAsia" w:cs="宋体"/>
          <w:highlight w:val="none"/>
        </w:rPr>
      </w:pPr>
      <w:r>
        <w:rPr>
          <w:rFonts w:hint="eastAsia" w:cs="宋体"/>
          <w:highlight w:val="none"/>
        </w:rPr>
      </w:r>
      <w:r/>
    </w:p>
    <w:p>
      <w:pPr>
        <w:spacing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附件七：投标供应商类似业绩情况表</w:t>
      </w:r>
      <w:r>
        <w:rPr>
          <w:rFonts w:hint="eastAsia" w:ascii="宋体" w:hAnsi="宋体" w:eastAsia="宋体" w:cs="宋体"/>
          <w:b/>
          <w:color w:val="000000"/>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投标人类似业绩情况表</w:t>
      </w:r>
      <w:r/>
    </w:p>
    <w:p>
      <w:pPr>
        <w:ind w:firstLine="240"/>
        <w:jc w:val="both"/>
        <w:spacing w:before="100" w:after="10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项目名称：                                              </w:t>
      </w:r>
      <w:r/>
    </w:p>
    <w:p>
      <w:pPr>
        <w:ind w:firstLine="240"/>
        <w:jc w:val="both"/>
        <w:spacing w:before="100" w:after="10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项目编号：</w:t>
      </w:r>
      <w:r/>
    </w:p>
    <w:tbl>
      <w:tblPr>
        <w:tblStyle w:val="687"/>
        <w:tblW w:w="9194"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63"/>
        <w:gridCol w:w="1512"/>
        <w:gridCol w:w="1185"/>
        <w:gridCol w:w="1157"/>
        <w:gridCol w:w="1004"/>
        <w:gridCol w:w="1619"/>
        <w:gridCol w:w="1275"/>
        <w:gridCol w:w="779"/>
      </w:tblGrid>
      <w:tr>
        <w:trPr/>
        <w:tc>
          <w:tcPr>
            <w:tcMar>
              <w:left w:w="0" w:type="dxa"/>
              <w:top w:w="0" w:type="dxa"/>
              <w:right w:w="0" w:type="dxa"/>
              <w:bottom w:w="0" w:type="dxa"/>
            </w:tcMar>
            <w:tcW w:w="663"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序号</w:t>
            </w:r>
            <w:r/>
          </w:p>
        </w:tc>
        <w:tc>
          <w:tcPr>
            <w:tcMar>
              <w:left w:w="0" w:type="dxa"/>
              <w:top w:w="0" w:type="dxa"/>
              <w:right w:w="0" w:type="dxa"/>
              <w:bottom w:w="0" w:type="dxa"/>
            </w:tcMar>
            <w:tcW w:w="1512" w:type="dxa"/>
            <w:vAlign w:val="center"/>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项目名称</w:t>
            </w:r>
            <w:r/>
          </w:p>
        </w:tc>
        <w:tc>
          <w:tcPr>
            <w:tcMar>
              <w:left w:w="0" w:type="dxa"/>
              <w:top w:w="0" w:type="dxa"/>
              <w:right w:w="0" w:type="dxa"/>
              <w:bottom w:w="0" w:type="dxa"/>
            </w:tcMar>
            <w:tcW w:w="1185" w:type="dxa"/>
            <w:vAlign w:val="center"/>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业主单位</w:t>
            </w:r>
            <w:r/>
          </w:p>
        </w:tc>
        <w:tc>
          <w:tcPr>
            <w:tcMar>
              <w:left w:w="0" w:type="dxa"/>
              <w:top w:w="0" w:type="dxa"/>
              <w:right w:w="0" w:type="dxa"/>
              <w:bottom w:w="0" w:type="dxa"/>
            </w:tcMar>
            <w:tcW w:w="1157" w:type="dxa"/>
            <w:vAlign w:val="center"/>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合同金额</w:t>
            </w:r>
            <w:r/>
          </w:p>
        </w:tc>
        <w:tc>
          <w:tcPr>
            <w:tcMar>
              <w:left w:w="0" w:type="dxa"/>
              <w:top w:w="0" w:type="dxa"/>
              <w:right w:w="0" w:type="dxa"/>
              <w:bottom w:w="0" w:type="dxa"/>
            </w:tcMar>
            <w:tcW w:w="1004" w:type="dxa"/>
            <w:vAlign w:val="center"/>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项目内容</w:t>
            </w:r>
            <w:r/>
          </w:p>
        </w:tc>
        <w:tc>
          <w:tcPr>
            <w:tcMar>
              <w:left w:w="0" w:type="dxa"/>
              <w:top w:w="0" w:type="dxa"/>
              <w:right w:w="0" w:type="dxa"/>
              <w:bottom w:w="0" w:type="dxa"/>
            </w:tcMar>
            <w:tcW w:w="1619"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签约及服务</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时间</w:t>
            </w:r>
            <w:r/>
          </w:p>
        </w:tc>
        <w:tc>
          <w:tcPr>
            <w:tcMar>
              <w:left w:w="0" w:type="dxa"/>
              <w:top w:w="0" w:type="dxa"/>
              <w:right w:w="0" w:type="dxa"/>
              <w:bottom w:w="0" w:type="dxa"/>
            </w:tcMar>
            <w:tcW w:w="1275"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联系人及电话</w:t>
            </w:r>
            <w:r/>
          </w:p>
        </w:tc>
        <w:tc>
          <w:tcPr>
            <w:tcMar>
              <w:left w:w="0" w:type="dxa"/>
              <w:top w:w="0" w:type="dxa"/>
              <w:right w:w="0" w:type="dxa"/>
              <w:bottom w:w="0" w:type="dxa"/>
            </w:tcMar>
            <w:tcW w:w="779"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备注</w:t>
            </w:r>
            <w:r/>
          </w:p>
        </w:tc>
      </w:tr>
      <w:tr>
        <w:trPr/>
        <w:tc>
          <w:tcPr>
            <w:tcMar>
              <w:left w:w="0" w:type="dxa"/>
              <w:top w:w="0" w:type="dxa"/>
              <w:right w:w="0" w:type="dxa"/>
              <w:bottom w:w="0" w:type="dxa"/>
            </w:tcMar>
            <w:tcW w:w="663"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0" w:type="dxa"/>
              <w:top w:w="0" w:type="dxa"/>
              <w:right w:w="0" w:type="dxa"/>
              <w:bottom w:w="0" w:type="dxa"/>
            </w:tcMar>
            <w:tcW w:w="1512"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0" w:type="dxa"/>
              <w:top w:w="0" w:type="dxa"/>
              <w:right w:w="0" w:type="dxa"/>
              <w:bottom w:w="0" w:type="dxa"/>
            </w:tcMar>
            <w:tcW w:w="1185" w:type="dxa"/>
            <w:vAlign w:val="top"/>
            <w:textDirection w:val="lrTb"/>
            <w:noWrap w:val="false"/>
          </w:tcPr>
          <w:p>
            <w:pPr>
              <w:ind w:firstLine="120"/>
              <w:jc w:val="both"/>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0" w:type="dxa"/>
              <w:top w:w="0" w:type="dxa"/>
              <w:right w:w="0" w:type="dxa"/>
              <w:bottom w:w="0" w:type="dxa"/>
            </w:tcMar>
            <w:tcW w:w="1157"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0" w:type="dxa"/>
              <w:top w:w="0" w:type="dxa"/>
              <w:right w:w="0" w:type="dxa"/>
              <w:bottom w:w="0" w:type="dxa"/>
            </w:tcMar>
            <w:tcW w:w="1004"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0" w:type="dxa"/>
              <w:top w:w="0" w:type="dxa"/>
              <w:right w:w="0" w:type="dxa"/>
              <w:bottom w:w="0" w:type="dxa"/>
            </w:tcMar>
            <w:tcW w:w="1619"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0" w:type="dxa"/>
              <w:top w:w="0" w:type="dxa"/>
              <w:right w:w="0" w:type="dxa"/>
              <w:bottom w:w="0" w:type="dxa"/>
            </w:tcMar>
            <w:tcW w:w="1275"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0" w:type="dxa"/>
              <w:top w:w="0" w:type="dxa"/>
              <w:right w:w="0" w:type="dxa"/>
              <w:bottom w:w="0" w:type="dxa"/>
            </w:tcMar>
            <w:tcW w:w="779"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r>
      <w:tr>
        <w:trPr/>
        <w:tc>
          <w:tcPr>
            <w:tcMar>
              <w:left w:w="0" w:type="dxa"/>
              <w:top w:w="0" w:type="dxa"/>
              <w:right w:w="0" w:type="dxa"/>
              <w:bottom w:w="0" w:type="dxa"/>
            </w:tcMar>
            <w:tcW w:w="663"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0" w:type="dxa"/>
              <w:top w:w="0" w:type="dxa"/>
              <w:right w:w="0" w:type="dxa"/>
              <w:bottom w:w="0" w:type="dxa"/>
            </w:tcMar>
            <w:tcW w:w="1512"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0" w:type="dxa"/>
              <w:top w:w="0" w:type="dxa"/>
              <w:right w:w="0" w:type="dxa"/>
              <w:bottom w:w="0" w:type="dxa"/>
            </w:tcMar>
            <w:tcW w:w="1185"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0" w:type="dxa"/>
              <w:top w:w="0" w:type="dxa"/>
              <w:right w:w="0" w:type="dxa"/>
              <w:bottom w:w="0" w:type="dxa"/>
            </w:tcMar>
            <w:tcW w:w="1157"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0" w:type="dxa"/>
              <w:top w:w="0" w:type="dxa"/>
              <w:right w:w="0" w:type="dxa"/>
              <w:bottom w:w="0" w:type="dxa"/>
            </w:tcMar>
            <w:tcW w:w="1004"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0" w:type="dxa"/>
              <w:top w:w="0" w:type="dxa"/>
              <w:right w:w="0" w:type="dxa"/>
              <w:bottom w:w="0" w:type="dxa"/>
            </w:tcMar>
            <w:tcW w:w="1619"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0" w:type="dxa"/>
              <w:top w:w="0" w:type="dxa"/>
              <w:right w:w="0" w:type="dxa"/>
              <w:bottom w:w="0" w:type="dxa"/>
            </w:tcMar>
            <w:tcW w:w="1275"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0" w:type="dxa"/>
              <w:top w:w="0" w:type="dxa"/>
              <w:right w:w="0" w:type="dxa"/>
              <w:bottom w:w="0" w:type="dxa"/>
            </w:tcMar>
            <w:tcW w:w="779"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r>
      <w:tr>
        <w:trPr/>
        <w:tc>
          <w:tcPr>
            <w:tcMar>
              <w:left w:w="0" w:type="dxa"/>
              <w:top w:w="0" w:type="dxa"/>
              <w:right w:w="0" w:type="dxa"/>
              <w:bottom w:w="0" w:type="dxa"/>
            </w:tcMar>
            <w:tcW w:w="663"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0" w:type="dxa"/>
              <w:top w:w="0" w:type="dxa"/>
              <w:right w:w="0" w:type="dxa"/>
              <w:bottom w:w="0" w:type="dxa"/>
            </w:tcMar>
            <w:tcW w:w="1512"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0" w:type="dxa"/>
              <w:top w:w="0" w:type="dxa"/>
              <w:right w:w="0" w:type="dxa"/>
              <w:bottom w:w="0" w:type="dxa"/>
            </w:tcMar>
            <w:tcW w:w="1185"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0" w:type="dxa"/>
              <w:top w:w="0" w:type="dxa"/>
              <w:right w:w="0" w:type="dxa"/>
              <w:bottom w:w="0" w:type="dxa"/>
            </w:tcMar>
            <w:tcW w:w="1157"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0" w:type="dxa"/>
              <w:top w:w="0" w:type="dxa"/>
              <w:right w:w="0" w:type="dxa"/>
              <w:bottom w:w="0" w:type="dxa"/>
            </w:tcMar>
            <w:tcW w:w="1004"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0" w:type="dxa"/>
              <w:top w:w="0" w:type="dxa"/>
              <w:right w:w="0" w:type="dxa"/>
              <w:bottom w:w="0" w:type="dxa"/>
            </w:tcMar>
            <w:tcW w:w="1619"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0" w:type="dxa"/>
              <w:top w:w="0" w:type="dxa"/>
              <w:right w:w="0" w:type="dxa"/>
              <w:bottom w:w="0" w:type="dxa"/>
            </w:tcMar>
            <w:tcW w:w="1275"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0" w:type="dxa"/>
              <w:top w:w="0" w:type="dxa"/>
              <w:right w:w="0" w:type="dxa"/>
              <w:bottom w:w="0" w:type="dxa"/>
            </w:tcMar>
            <w:tcW w:w="779"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r>
      <w:tr>
        <w:trPr/>
        <w:tc>
          <w:tcPr>
            <w:tcMar>
              <w:left w:w="0" w:type="dxa"/>
              <w:top w:w="0" w:type="dxa"/>
              <w:right w:w="0" w:type="dxa"/>
              <w:bottom w:w="0" w:type="dxa"/>
            </w:tcMar>
            <w:tcW w:w="663"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0" w:type="dxa"/>
              <w:top w:w="0" w:type="dxa"/>
              <w:right w:w="0" w:type="dxa"/>
              <w:bottom w:w="0" w:type="dxa"/>
            </w:tcMar>
            <w:tcW w:w="1512"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0" w:type="dxa"/>
              <w:top w:w="0" w:type="dxa"/>
              <w:right w:w="0" w:type="dxa"/>
              <w:bottom w:w="0" w:type="dxa"/>
            </w:tcMar>
            <w:tcW w:w="1185"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0" w:type="dxa"/>
              <w:top w:w="0" w:type="dxa"/>
              <w:right w:w="0" w:type="dxa"/>
              <w:bottom w:w="0" w:type="dxa"/>
            </w:tcMar>
            <w:tcW w:w="1157"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0" w:type="dxa"/>
              <w:top w:w="0" w:type="dxa"/>
              <w:right w:w="0" w:type="dxa"/>
              <w:bottom w:w="0" w:type="dxa"/>
            </w:tcMar>
            <w:tcW w:w="1004"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0" w:type="dxa"/>
              <w:top w:w="0" w:type="dxa"/>
              <w:right w:w="0" w:type="dxa"/>
              <w:bottom w:w="0" w:type="dxa"/>
            </w:tcMar>
            <w:tcW w:w="1619"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0" w:type="dxa"/>
              <w:top w:w="0" w:type="dxa"/>
              <w:right w:w="0" w:type="dxa"/>
              <w:bottom w:w="0" w:type="dxa"/>
            </w:tcMar>
            <w:tcW w:w="1275"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0" w:type="dxa"/>
              <w:top w:w="0" w:type="dxa"/>
              <w:right w:w="0" w:type="dxa"/>
              <w:bottom w:w="0" w:type="dxa"/>
            </w:tcMar>
            <w:tcW w:w="779"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r>
      <w:tr>
        <w:trPr/>
        <w:tc>
          <w:tcPr>
            <w:tcMar>
              <w:left w:w="0" w:type="dxa"/>
              <w:top w:w="0" w:type="dxa"/>
              <w:right w:w="0" w:type="dxa"/>
              <w:bottom w:w="0" w:type="dxa"/>
            </w:tcMar>
            <w:tcW w:w="663"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0" w:type="dxa"/>
              <w:top w:w="0" w:type="dxa"/>
              <w:right w:w="0" w:type="dxa"/>
              <w:bottom w:w="0" w:type="dxa"/>
            </w:tcMar>
            <w:tcW w:w="1512"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0" w:type="dxa"/>
              <w:top w:w="0" w:type="dxa"/>
              <w:right w:w="0" w:type="dxa"/>
              <w:bottom w:w="0" w:type="dxa"/>
            </w:tcMar>
            <w:tcW w:w="1185"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0" w:type="dxa"/>
              <w:top w:w="0" w:type="dxa"/>
              <w:right w:w="0" w:type="dxa"/>
              <w:bottom w:w="0" w:type="dxa"/>
            </w:tcMar>
            <w:tcW w:w="1157"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0" w:type="dxa"/>
              <w:top w:w="0" w:type="dxa"/>
              <w:right w:w="0" w:type="dxa"/>
              <w:bottom w:w="0" w:type="dxa"/>
            </w:tcMar>
            <w:tcW w:w="1004"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0" w:type="dxa"/>
              <w:top w:w="0" w:type="dxa"/>
              <w:right w:w="0" w:type="dxa"/>
              <w:bottom w:w="0" w:type="dxa"/>
            </w:tcMar>
            <w:tcW w:w="1619"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0" w:type="dxa"/>
              <w:top w:w="0" w:type="dxa"/>
              <w:right w:w="0" w:type="dxa"/>
              <w:bottom w:w="0" w:type="dxa"/>
            </w:tcMar>
            <w:tcW w:w="1275"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0" w:type="dxa"/>
              <w:top w:w="0" w:type="dxa"/>
              <w:right w:w="0" w:type="dxa"/>
              <w:bottom w:w="0" w:type="dxa"/>
            </w:tcMar>
            <w:tcW w:w="779"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r>
      <w:tr>
        <w:trPr/>
        <w:tc>
          <w:tcPr>
            <w:tcMar>
              <w:left w:w="0" w:type="dxa"/>
              <w:top w:w="0" w:type="dxa"/>
              <w:right w:w="0" w:type="dxa"/>
              <w:bottom w:w="0" w:type="dxa"/>
            </w:tcMar>
            <w:tcW w:w="663"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0" w:type="dxa"/>
              <w:top w:w="0" w:type="dxa"/>
              <w:right w:w="0" w:type="dxa"/>
              <w:bottom w:w="0" w:type="dxa"/>
            </w:tcMar>
            <w:tcW w:w="1512"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0" w:type="dxa"/>
              <w:top w:w="0" w:type="dxa"/>
              <w:right w:w="0" w:type="dxa"/>
              <w:bottom w:w="0" w:type="dxa"/>
            </w:tcMar>
            <w:tcW w:w="1185"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0" w:type="dxa"/>
              <w:top w:w="0" w:type="dxa"/>
              <w:right w:w="0" w:type="dxa"/>
              <w:bottom w:w="0" w:type="dxa"/>
            </w:tcMar>
            <w:tcW w:w="1157"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0" w:type="dxa"/>
              <w:top w:w="0" w:type="dxa"/>
              <w:right w:w="0" w:type="dxa"/>
              <w:bottom w:w="0" w:type="dxa"/>
            </w:tcMar>
            <w:tcW w:w="1004"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0" w:type="dxa"/>
              <w:top w:w="0" w:type="dxa"/>
              <w:right w:w="0" w:type="dxa"/>
              <w:bottom w:w="0" w:type="dxa"/>
            </w:tcMar>
            <w:tcW w:w="1619"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0" w:type="dxa"/>
              <w:top w:w="0" w:type="dxa"/>
              <w:right w:w="0" w:type="dxa"/>
              <w:bottom w:w="0" w:type="dxa"/>
            </w:tcMar>
            <w:tcW w:w="1275"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0" w:type="dxa"/>
              <w:top w:w="0" w:type="dxa"/>
              <w:right w:w="0" w:type="dxa"/>
              <w:bottom w:w="0" w:type="dxa"/>
            </w:tcMar>
            <w:tcW w:w="779"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r>
      <w:tr>
        <w:trPr/>
        <w:tc>
          <w:tcPr>
            <w:tcMar>
              <w:left w:w="0" w:type="dxa"/>
              <w:top w:w="0" w:type="dxa"/>
              <w:right w:w="0" w:type="dxa"/>
              <w:bottom w:w="0" w:type="dxa"/>
            </w:tcMar>
            <w:tcW w:w="663"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0" w:type="dxa"/>
              <w:top w:w="0" w:type="dxa"/>
              <w:right w:w="0" w:type="dxa"/>
              <w:bottom w:w="0" w:type="dxa"/>
            </w:tcMar>
            <w:tcW w:w="1512"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0" w:type="dxa"/>
              <w:top w:w="0" w:type="dxa"/>
              <w:right w:w="0" w:type="dxa"/>
              <w:bottom w:w="0" w:type="dxa"/>
            </w:tcMar>
            <w:tcW w:w="1185"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0" w:type="dxa"/>
              <w:top w:w="0" w:type="dxa"/>
              <w:right w:w="0" w:type="dxa"/>
              <w:bottom w:w="0" w:type="dxa"/>
            </w:tcMar>
            <w:tcW w:w="1157"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0" w:type="dxa"/>
              <w:top w:w="0" w:type="dxa"/>
              <w:right w:w="0" w:type="dxa"/>
              <w:bottom w:w="0" w:type="dxa"/>
            </w:tcMar>
            <w:tcW w:w="1004"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0" w:type="dxa"/>
              <w:top w:w="0" w:type="dxa"/>
              <w:right w:w="0" w:type="dxa"/>
              <w:bottom w:w="0" w:type="dxa"/>
            </w:tcMar>
            <w:tcW w:w="1619"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0" w:type="dxa"/>
              <w:top w:w="0" w:type="dxa"/>
              <w:right w:w="0" w:type="dxa"/>
              <w:bottom w:w="0" w:type="dxa"/>
            </w:tcMar>
            <w:tcW w:w="1275"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0" w:type="dxa"/>
              <w:top w:w="0" w:type="dxa"/>
              <w:right w:w="0" w:type="dxa"/>
              <w:bottom w:w="0" w:type="dxa"/>
            </w:tcMar>
            <w:tcW w:w="779"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r>
      <w:tr>
        <w:trPr/>
        <w:tc>
          <w:tcPr>
            <w:tcMar>
              <w:left w:w="0" w:type="dxa"/>
              <w:top w:w="0" w:type="dxa"/>
              <w:right w:w="0" w:type="dxa"/>
              <w:bottom w:w="0" w:type="dxa"/>
            </w:tcMar>
            <w:tcW w:w="663"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0" w:type="dxa"/>
              <w:top w:w="0" w:type="dxa"/>
              <w:right w:w="0" w:type="dxa"/>
              <w:bottom w:w="0" w:type="dxa"/>
            </w:tcMar>
            <w:tcW w:w="1512"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0" w:type="dxa"/>
              <w:top w:w="0" w:type="dxa"/>
              <w:right w:w="0" w:type="dxa"/>
              <w:bottom w:w="0" w:type="dxa"/>
            </w:tcMar>
            <w:tcW w:w="1185"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0" w:type="dxa"/>
              <w:top w:w="0" w:type="dxa"/>
              <w:right w:w="0" w:type="dxa"/>
              <w:bottom w:w="0" w:type="dxa"/>
            </w:tcMar>
            <w:tcW w:w="1157"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0" w:type="dxa"/>
              <w:top w:w="0" w:type="dxa"/>
              <w:right w:w="0" w:type="dxa"/>
              <w:bottom w:w="0" w:type="dxa"/>
            </w:tcMar>
            <w:tcW w:w="1004"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0" w:type="dxa"/>
              <w:top w:w="0" w:type="dxa"/>
              <w:right w:w="0" w:type="dxa"/>
              <w:bottom w:w="0" w:type="dxa"/>
            </w:tcMar>
            <w:tcW w:w="1619"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0" w:type="dxa"/>
              <w:top w:w="0" w:type="dxa"/>
              <w:right w:w="0" w:type="dxa"/>
              <w:bottom w:w="0" w:type="dxa"/>
            </w:tcMar>
            <w:tcW w:w="1275"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0" w:type="dxa"/>
              <w:top w:w="0" w:type="dxa"/>
              <w:right w:w="0" w:type="dxa"/>
              <w:bottom w:w="0" w:type="dxa"/>
            </w:tcMar>
            <w:tcW w:w="779"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r>
    </w:tbl>
    <w:p>
      <w:pPr>
        <w:jc w:val="both"/>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rPr>
        <w:t xml:space="preserve"> </w:t>
      </w:r>
      <w:r/>
    </w:p>
    <w:p>
      <w:pPr>
        <w:spacing w:before="240" w:after="240" w:line="85" w:lineRule="atLeast"/>
        <w:shd w:val="clear" w:color="ffffff" w:fill="ffff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供应商</w:t>
      </w:r>
      <w:r>
        <w:rPr>
          <w:rFonts w:hint="eastAsia" w:ascii="宋体" w:hAnsi="宋体" w:eastAsia="宋体" w:cs="宋体"/>
          <w:color w:val="000000"/>
          <w:highlight w:val="none"/>
        </w:rPr>
        <w:t xml:space="preserve">（盖章）：</w:t>
      </w:r>
      <w:r>
        <w:rPr>
          <w:rFonts w:hint="eastAsia" w:ascii="宋体" w:hAnsi="宋体" w:eastAsia="宋体" w:cs="宋体"/>
          <w:color w:val="000000"/>
          <w:highlight w:val="none"/>
          <w:u w:val="single"/>
        </w:rPr>
        <w:t xml:space="preserve">                      </w:t>
      </w:r>
      <w:r/>
    </w:p>
    <w:p>
      <w:pPr>
        <w:jc w:val="both"/>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日期：</w:t>
      </w:r>
      <w:r>
        <w:rPr>
          <w:rFonts w:hint="eastAsia" w:ascii="宋体" w:hAnsi="宋体" w:eastAsia="宋体" w:cs="宋体"/>
          <w:color w:val="000000"/>
          <w:highlight w:val="none"/>
          <w:u w:val="single"/>
        </w:rPr>
        <w:t xml:space="preserve">             </w:t>
      </w:r>
      <w:r/>
    </w:p>
    <w:p>
      <w:pPr>
        <w:jc w:val="both"/>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说明：具体时间要求及需提交的证明材料详见评分标准。</w:t>
      </w:r>
      <w:r/>
    </w:p>
    <w:p>
      <w:pPr>
        <w:spacing w:before="240" w:after="240" w:line="85" w:lineRule="atLeast"/>
        <w:shd w:val="clear" w:color="ffffff" w:fill="ffff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firstLine="4116"/>
        <w:spacing w:before="240" w:after="240" w:line="85" w:lineRule="atLeast"/>
        <w:shd w:val="clear" w:color="ffffff" w:fill="ffff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p>
    <w:p>
      <w:pPr>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p>
    <w:p>
      <w:pPr>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p>
    <w:p>
      <w:pPr>
        <w:spacing w:line="85" w:lineRule="atLeast"/>
        <w:shd w:val="clear" w:color="ffffff" w:fill="ffff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spacing w:line="85" w:lineRule="atLeast"/>
        <w:shd w:val="clear" w:color="ffffff" w:fill="ffff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附件八：供货一览表格式</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供货一览表（含配件、备品、消耗材料）</w:t>
      </w:r>
      <w:r/>
    </w:p>
    <w:tbl>
      <w:tblPr>
        <w:tblStyle w:val="687"/>
        <w:tblW w:w="0" w:type="auto"/>
        <w:tblInd w:w="-2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08"/>
        <w:gridCol w:w="771"/>
        <w:gridCol w:w="414"/>
        <w:gridCol w:w="894"/>
        <w:gridCol w:w="1531"/>
        <w:gridCol w:w="701"/>
        <w:gridCol w:w="861"/>
        <w:gridCol w:w="235"/>
        <w:gridCol w:w="1326"/>
        <w:gridCol w:w="1561"/>
      </w:tblGrid>
      <w:tr>
        <w:trPr>
          <w:trHeight w:val="284"/>
        </w:trPr>
        <w:tc>
          <w:tcPr>
            <w:gridSpan w:val="6"/>
            <w:tcMar>
              <w:left w:w="108" w:type="dxa"/>
              <w:top w:w="0" w:type="dxa"/>
              <w:right w:w="108" w:type="dxa"/>
              <w:bottom w:w="0" w:type="dxa"/>
            </w:tcMar>
            <w:tcW w:w="5319" w:type="dxa"/>
            <w:vAlign w:val="top"/>
            <w:textDirection w:val="lrTb"/>
            <w:noWrap w:val="false"/>
          </w:tcPr>
          <w:p>
            <w:pPr>
              <w:jc w:val="both"/>
              <w:spacing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项目名称：</w:t>
            </w:r>
            <w:r/>
          </w:p>
          <w:p>
            <w:pPr>
              <w:jc w:val="left"/>
              <w:spacing w:before="100" w:after="100" w:line="85" w:lineRule="atLeast"/>
              <w:rPr>
                <w:rFonts w:hint="eastAsia"/>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项目编号：  </w:t>
            </w:r>
            <w:r/>
          </w:p>
        </w:tc>
        <w:tc>
          <w:tcPr>
            <w:gridSpan w:val="4"/>
            <w:tcMar>
              <w:left w:w="108" w:type="dxa"/>
              <w:top w:w="0" w:type="dxa"/>
              <w:right w:w="108" w:type="dxa"/>
              <w:bottom w:w="0" w:type="dxa"/>
            </w:tcMar>
            <w:tcW w:w="3983" w:type="dxa"/>
            <w:vAlign w:val="top"/>
            <w:textDirection w:val="lrTb"/>
            <w:noWrap w:val="false"/>
          </w:tcPr>
          <w:p>
            <w:pPr>
              <w:ind w:firstLine="240"/>
              <w:jc w:val="left"/>
              <w:spacing w:before="100" w:after="10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jc w:val="both"/>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r>
      <w:tr>
        <w:trPr>
          <w:trHeight w:val="284"/>
        </w:trPr>
        <w:tc>
          <w:tcPr>
            <w:gridSpan w:val="2"/>
            <w:tcMar>
              <w:left w:w="108" w:type="dxa"/>
              <w:top w:w="0" w:type="dxa"/>
              <w:right w:w="108" w:type="dxa"/>
              <w:bottom w:w="0" w:type="dxa"/>
            </w:tcMar>
            <w:tcW w:w="1779" w:type="dxa"/>
            <w:vAlign w:val="center"/>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名称</w:t>
            </w:r>
            <w:r/>
          </w:p>
        </w:tc>
        <w:tc>
          <w:tcPr>
            <w:gridSpan w:val="2"/>
            <w:tcMar>
              <w:left w:w="108" w:type="dxa"/>
              <w:top w:w="0" w:type="dxa"/>
              <w:right w:w="108" w:type="dxa"/>
              <w:bottom w:w="0" w:type="dxa"/>
            </w:tcMar>
            <w:tcW w:w="1308" w:type="dxa"/>
            <w:vAlign w:val="center"/>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108" w:type="dxa"/>
              <w:top w:w="0" w:type="dxa"/>
              <w:right w:w="108" w:type="dxa"/>
              <w:bottom w:w="0" w:type="dxa"/>
            </w:tcMar>
            <w:tcW w:w="1531" w:type="dxa"/>
            <w:vAlign w:val="center"/>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品    牌</w:t>
            </w:r>
            <w:r/>
          </w:p>
        </w:tc>
        <w:tc>
          <w:tcPr>
            <w:gridSpan w:val="2"/>
            <w:tcMar>
              <w:left w:w="108" w:type="dxa"/>
              <w:top w:w="0" w:type="dxa"/>
              <w:right w:w="108" w:type="dxa"/>
              <w:bottom w:w="0" w:type="dxa"/>
            </w:tcMar>
            <w:tcW w:w="1562" w:type="dxa"/>
            <w:vAlign w:val="center"/>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gridSpan w:val="2"/>
            <w:tcMar>
              <w:left w:w="108" w:type="dxa"/>
              <w:top w:w="0" w:type="dxa"/>
              <w:right w:w="108" w:type="dxa"/>
              <w:bottom w:w="0" w:type="dxa"/>
            </w:tcMar>
            <w:tcW w:w="1561" w:type="dxa"/>
            <w:vAlign w:val="center"/>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规格、型号</w:t>
            </w:r>
            <w:r/>
          </w:p>
        </w:tc>
        <w:tc>
          <w:tcPr>
            <w:tcMar>
              <w:left w:w="108" w:type="dxa"/>
              <w:top w:w="0" w:type="dxa"/>
              <w:right w:w="108" w:type="dxa"/>
              <w:bottom w:w="0" w:type="dxa"/>
            </w:tcMar>
            <w:tcW w:w="1561" w:type="dxa"/>
            <w:vAlign w:val="center"/>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r>
      <w:tr>
        <w:trPr>
          <w:trHeight w:val="284"/>
        </w:trPr>
        <w:tc>
          <w:tcPr>
            <w:gridSpan w:val="2"/>
            <w:tcMar>
              <w:left w:w="108" w:type="dxa"/>
              <w:top w:w="0" w:type="dxa"/>
              <w:right w:w="108" w:type="dxa"/>
              <w:bottom w:w="0" w:type="dxa"/>
            </w:tcMar>
            <w:tcW w:w="1779" w:type="dxa"/>
            <w:vAlign w:val="top"/>
            <w:textDirection w:val="lrTb"/>
            <w:noWrap w:val="false"/>
          </w:tcPr>
          <w:p>
            <w:pP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生产企业名称</w:t>
            </w:r>
            <w:r/>
          </w:p>
        </w:tc>
        <w:tc>
          <w:tcPr>
            <w:gridSpan w:val="3"/>
            <w:tcMar>
              <w:left w:w="108" w:type="dxa"/>
              <w:top w:w="0" w:type="dxa"/>
              <w:right w:w="108" w:type="dxa"/>
              <w:bottom w:w="0" w:type="dxa"/>
            </w:tcMar>
            <w:tcW w:w="2839" w:type="dxa"/>
            <w:vAlign w:val="top"/>
            <w:textDirection w:val="lrTb"/>
            <w:noWrap w:val="false"/>
          </w:tcPr>
          <w:p>
            <w:pP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gridSpan w:val="3"/>
            <w:tcMar>
              <w:left w:w="108" w:type="dxa"/>
              <w:top w:w="0" w:type="dxa"/>
              <w:right w:w="108" w:type="dxa"/>
              <w:bottom w:w="0" w:type="dxa"/>
            </w:tcMar>
            <w:tcW w:w="1797" w:type="dxa"/>
            <w:vAlign w:val="top"/>
            <w:textDirection w:val="lrTb"/>
            <w:noWrap w:val="false"/>
          </w:tcPr>
          <w:p>
            <w:pP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生产企业地址</w:t>
            </w:r>
            <w:r/>
          </w:p>
        </w:tc>
        <w:tc>
          <w:tcPr>
            <w:gridSpan w:val="2"/>
            <w:tcMar>
              <w:left w:w="108" w:type="dxa"/>
              <w:top w:w="0" w:type="dxa"/>
              <w:right w:w="108" w:type="dxa"/>
              <w:bottom w:w="0" w:type="dxa"/>
            </w:tcMar>
            <w:tcW w:w="2887" w:type="dxa"/>
            <w:vAlign w:val="top"/>
            <w:textDirection w:val="lrTb"/>
            <w:noWrap w:val="false"/>
          </w:tcPr>
          <w:p>
            <w:pP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r>
      <w:tr>
        <w:trPr>
          <w:trHeight w:val="284"/>
        </w:trPr>
        <w:tc>
          <w:tcPr>
            <w:tcMar>
              <w:left w:w="108" w:type="dxa"/>
              <w:top w:w="0" w:type="dxa"/>
              <w:right w:w="108" w:type="dxa"/>
              <w:bottom w:w="0" w:type="dxa"/>
            </w:tcMar>
            <w:tcW w:w="1008"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序号</w:t>
            </w:r>
            <w:r/>
          </w:p>
        </w:tc>
        <w:tc>
          <w:tcPr>
            <w:gridSpan w:val="2"/>
            <w:tcMar>
              <w:left w:w="108" w:type="dxa"/>
              <w:top w:w="0" w:type="dxa"/>
              <w:right w:w="108" w:type="dxa"/>
              <w:bottom w:w="0" w:type="dxa"/>
            </w:tcMar>
            <w:tcW w:w="1185"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名称</w:t>
            </w:r>
            <w:r/>
          </w:p>
        </w:tc>
        <w:tc>
          <w:tcPr>
            <w:tcMar>
              <w:left w:w="108" w:type="dxa"/>
              <w:top w:w="0" w:type="dxa"/>
              <w:right w:w="108" w:type="dxa"/>
              <w:bottom w:w="0" w:type="dxa"/>
            </w:tcMar>
            <w:tcW w:w="894"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数量</w:t>
            </w:r>
            <w:r/>
          </w:p>
        </w:tc>
        <w:tc>
          <w:tcPr>
            <w:gridSpan w:val="6"/>
            <w:tcMar>
              <w:left w:w="108" w:type="dxa"/>
              <w:top w:w="0" w:type="dxa"/>
              <w:right w:w="108" w:type="dxa"/>
              <w:bottom w:w="0" w:type="dxa"/>
            </w:tcMar>
            <w:tcW w:w="6215" w:type="dxa"/>
            <w:vAlign w:val="top"/>
            <w:textDirection w:val="lrTb"/>
            <w:noWrap w:val="false"/>
          </w:tcPr>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主要技术参数</w:t>
            </w:r>
            <w:r/>
          </w:p>
        </w:tc>
      </w:tr>
      <w:tr>
        <w:trPr>
          <w:trHeight w:val="284"/>
        </w:trPr>
        <w:tc>
          <w:tcPr>
            <w:tcMar>
              <w:left w:w="108" w:type="dxa"/>
              <w:top w:w="0" w:type="dxa"/>
              <w:right w:w="108" w:type="dxa"/>
              <w:bottom w:w="0" w:type="dxa"/>
            </w:tcMar>
            <w:tcW w:w="1008" w:type="dxa"/>
            <w:vAlign w:val="top"/>
            <w:textDirection w:val="lrTb"/>
            <w:noWrap w:val="false"/>
          </w:tcPr>
          <w:p>
            <w:pP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gridSpan w:val="2"/>
            <w:tcMar>
              <w:left w:w="108" w:type="dxa"/>
              <w:top w:w="0" w:type="dxa"/>
              <w:right w:w="108" w:type="dxa"/>
              <w:bottom w:w="0" w:type="dxa"/>
            </w:tcMar>
            <w:tcW w:w="1185" w:type="dxa"/>
            <w:vAlign w:val="top"/>
            <w:textDirection w:val="lrTb"/>
            <w:noWrap w:val="false"/>
          </w:tcPr>
          <w:p>
            <w:pP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108" w:type="dxa"/>
              <w:top w:w="0" w:type="dxa"/>
              <w:right w:w="108" w:type="dxa"/>
              <w:bottom w:w="0" w:type="dxa"/>
            </w:tcMar>
            <w:tcW w:w="894" w:type="dxa"/>
            <w:vAlign w:val="top"/>
            <w:textDirection w:val="lrTb"/>
            <w:noWrap w:val="false"/>
          </w:tcPr>
          <w:p>
            <w:pP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gridSpan w:val="6"/>
            <w:tcMar>
              <w:left w:w="108" w:type="dxa"/>
              <w:top w:w="0" w:type="dxa"/>
              <w:right w:w="108" w:type="dxa"/>
              <w:bottom w:w="0" w:type="dxa"/>
            </w:tcMar>
            <w:tcW w:w="6215" w:type="dxa"/>
            <w:vAlign w:val="top"/>
            <w:textDirection w:val="lrTb"/>
            <w:noWrap w:val="false"/>
          </w:tcPr>
          <w:p>
            <w:pP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r>
      <w:tr>
        <w:trPr>
          <w:trHeight w:val="284"/>
        </w:trPr>
        <w:tc>
          <w:tcPr>
            <w:tcMar>
              <w:left w:w="108" w:type="dxa"/>
              <w:top w:w="0" w:type="dxa"/>
              <w:right w:w="108" w:type="dxa"/>
              <w:bottom w:w="0" w:type="dxa"/>
            </w:tcMar>
            <w:tcW w:w="1008" w:type="dxa"/>
            <w:vAlign w:val="top"/>
            <w:textDirection w:val="lrTb"/>
            <w:noWrap w:val="false"/>
          </w:tcPr>
          <w:p>
            <w:pP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gridSpan w:val="2"/>
            <w:tcMar>
              <w:left w:w="108" w:type="dxa"/>
              <w:top w:w="0" w:type="dxa"/>
              <w:right w:w="108" w:type="dxa"/>
              <w:bottom w:w="0" w:type="dxa"/>
            </w:tcMar>
            <w:tcW w:w="1185" w:type="dxa"/>
            <w:vAlign w:val="top"/>
            <w:textDirection w:val="lrTb"/>
            <w:noWrap w:val="false"/>
          </w:tcPr>
          <w:p>
            <w:pP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108" w:type="dxa"/>
              <w:top w:w="0" w:type="dxa"/>
              <w:right w:w="108" w:type="dxa"/>
              <w:bottom w:w="0" w:type="dxa"/>
            </w:tcMar>
            <w:tcW w:w="894" w:type="dxa"/>
            <w:vAlign w:val="top"/>
            <w:textDirection w:val="lrTb"/>
            <w:noWrap w:val="false"/>
          </w:tcPr>
          <w:p>
            <w:pP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gridSpan w:val="6"/>
            <w:tcMar>
              <w:left w:w="108" w:type="dxa"/>
              <w:top w:w="0" w:type="dxa"/>
              <w:right w:w="108" w:type="dxa"/>
              <w:bottom w:w="0" w:type="dxa"/>
            </w:tcMar>
            <w:tcW w:w="6215" w:type="dxa"/>
            <w:vAlign w:val="top"/>
            <w:textDirection w:val="lrTb"/>
            <w:noWrap w:val="false"/>
          </w:tcPr>
          <w:p>
            <w:pP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r>
    </w:tbl>
    <w:p>
      <w:pPr>
        <w:spacing w:before="240" w:after="240" w:line="85" w:lineRule="atLeast"/>
        <w:shd w:val="clear" w:color="ffffff" w:fill="ffff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供应商</w:t>
      </w:r>
      <w:r>
        <w:rPr>
          <w:rFonts w:hint="eastAsia" w:ascii="宋体" w:hAnsi="宋体" w:eastAsia="宋体" w:cs="宋体"/>
          <w:color w:val="000000"/>
          <w:highlight w:val="none"/>
        </w:rPr>
        <w:t xml:space="preserve">（盖章）：</w:t>
      </w:r>
      <w:r>
        <w:rPr>
          <w:rFonts w:hint="eastAsia" w:ascii="宋体" w:hAnsi="宋体" w:eastAsia="宋体" w:cs="宋体"/>
          <w:color w:val="000000"/>
          <w:highlight w:val="none"/>
          <w:u w:val="single"/>
        </w:rPr>
        <w:t xml:space="preserve">                      </w:t>
      </w:r>
      <w:r/>
    </w:p>
    <w:p>
      <w:pPr>
        <w:jc w:val="both"/>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日期：</w:t>
      </w:r>
      <w:r>
        <w:rPr>
          <w:rFonts w:hint="eastAsia" w:ascii="宋体" w:hAnsi="宋体" w:eastAsia="宋体" w:cs="宋体"/>
          <w:color w:val="000000"/>
          <w:highlight w:val="none"/>
          <w:u w:val="single"/>
        </w:rPr>
        <w:t xml:space="preserve">             </w:t>
      </w:r>
      <w:r/>
    </w:p>
    <w:p>
      <w:pP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说明：</w:t>
      </w:r>
      <w:r/>
    </w:p>
    <w:p>
      <w:pP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1.如果行数不够，请自行增加。</w:t>
      </w:r>
      <w:r/>
    </w:p>
    <w:p>
      <w:pP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rPr>
        <w:t xml:space="preserve">2.供应商应根据上表要求逐一说明投标货物名称、品牌、规格型号、产地、技术参数等。</w:t>
      </w:r>
      <w:r/>
    </w:p>
    <w:p>
      <w:pPr>
        <w:spacing w:line="85" w:lineRule="atLeast"/>
        <w:shd w:val="clear" w:color="ffffff" w:fill="ffff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spacing w:line="85" w:lineRule="atLeast"/>
        <w:shd w:val="clear" w:color="ffffff" w:fill="ffff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附件九：投标项目主要产品一览表格式</w:t>
      </w:r>
      <w:r/>
    </w:p>
    <w:p>
      <w:pP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投标项目主要产品一览表</w:t>
      </w:r>
      <w:r/>
    </w:p>
    <w:tbl>
      <w:tblPr>
        <w:tblStyle w:val="687"/>
        <w:tblW w:w="0" w:type="auto"/>
        <w:tblInd w:w="-2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0"/>
        <w:gridCol w:w="1784"/>
        <w:gridCol w:w="2711"/>
        <w:gridCol w:w="446"/>
        <w:gridCol w:w="570"/>
        <w:gridCol w:w="1513"/>
        <w:gridCol w:w="1640"/>
      </w:tblGrid>
      <w:tr>
        <w:trPr>
          <w:trHeight w:val="284"/>
        </w:trPr>
        <w:tc>
          <w:tcPr>
            <w:gridSpan w:val="4"/>
            <w:tcMar>
              <w:left w:w="108" w:type="dxa"/>
              <w:top w:w="0" w:type="dxa"/>
              <w:right w:w="108" w:type="dxa"/>
              <w:bottom w:w="0" w:type="dxa"/>
            </w:tcMar>
            <w:tcW w:w="5631" w:type="dxa"/>
            <w:vAlign w:val="center"/>
            <w:textDirection w:val="lrTb"/>
            <w:noWrap w:val="false"/>
          </w:tcPr>
          <w:p>
            <w:pPr>
              <w:jc w:val="both"/>
              <w:spacing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项目名称：</w:t>
            </w:r>
            <w:r/>
          </w:p>
          <w:p>
            <w:pPr>
              <w:jc w:val="left"/>
              <w:spacing w:before="100" w:after="10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项目编号： </w:t>
            </w:r>
            <w:r/>
          </w:p>
        </w:tc>
        <w:tc>
          <w:tcPr>
            <w:gridSpan w:val="3"/>
            <w:tcMar>
              <w:left w:w="108" w:type="dxa"/>
              <w:top w:w="0" w:type="dxa"/>
              <w:right w:w="108" w:type="dxa"/>
              <w:bottom w:w="0" w:type="dxa"/>
            </w:tcMar>
            <w:tcW w:w="3723" w:type="dxa"/>
            <w:vAlign w:val="center"/>
            <w:textDirection w:val="lrTb"/>
            <w:noWrap w:val="false"/>
          </w:tcPr>
          <w:p>
            <w:pPr>
              <w:spacing w:line="11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tc>
      </w:tr>
      <w:tr>
        <w:trPr>
          <w:trHeight w:val="284"/>
        </w:trPr>
        <w:tc>
          <w:tcPr>
            <w:tcMar>
              <w:left w:w="108" w:type="dxa"/>
              <w:top w:w="0" w:type="dxa"/>
              <w:right w:w="108" w:type="dxa"/>
              <w:bottom w:w="0" w:type="dxa"/>
            </w:tcMar>
            <w:tcW w:w="690" w:type="dxa"/>
            <w:vAlign w:val="center"/>
            <w:textDirection w:val="lrTb"/>
            <w:noWrap w:val="false"/>
          </w:tcPr>
          <w:p>
            <w:pPr>
              <w:jc w:val="center"/>
              <w:spacing w:line="11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序号</w:t>
            </w:r>
            <w:r/>
          </w:p>
        </w:tc>
        <w:tc>
          <w:tcPr>
            <w:tcMar>
              <w:left w:w="108" w:type="dxa"/>
              <w:top w:w="0" w:type="dxa"/>
              <w:right w:w="108" w:type="dxa"/>
              <w:bottom w:w="0" w:type="dxa"/>
            </w:tcMar>
            <w:tcW w:w="1784" w:type="dxa"/>
            <w:vAlign w:val="center"/>
            <w:textDirection w:val="lrTb"/>
            <w:noWrap w:val="false"/>
          </w:tcPr>
          <w:p>
            <w:pPr>
              <w:jc w:val="center"/>
              <w:spacing w:line="11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名称</w:t>
            </w:r>
            <w:r/>
          </w:p>
        </w:tc>
        <w:tc>
          <w:tcPr>
            <w:tcMar>
              <w:left w:w="108" w:type="dxa"/>
              <w:top w:w="0" w:type="dxa"/>
              <w:right w:w="108" w:type="dxa"/>
              <w:bottom w:w="0" w:type="dxa"/>
            </w:tcMar>
            <w:tcW w:w="2711" w:type="dxa"/>
            <w:vAlign w:val="center"/>
            <w:textDirection w:val="lrTb"/>
            <w:noWrap w:val="false"/>
          </w:tcPr>
          <w:p>
            <w:pPr>
              <w:jc w:val="center"/>
              <w:spacing w:line="11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品牌、规格或型号</w:t>
            </w:r>
            <w:r/>
          </w:p>
        </w:tc>
        <w:tc>
          <w:tcPr>
            <w:gridSpan w:val="2"/>
            <w:tcMar>
              <w:left w:w="108" w:type="dxa"/>
              <w:top w:w="0" w:type="dxa"/>
              <w:right w:w="108" w:type="dxa"/>
              <w:bottom w:w="0" w:type="dxa"/>
            </w:tcMar>
            <w:tcW w:w="1016" w:type="dxa"/>
            <w:vAlign w:val="center"/>
            <w:textDirection w:val="lrTb"/>
            <w:noWrap w:val="false"/>
          </w:tcPr>
          <w:p>
            <w:pPr>
              <w:jc w:val="center"/>
              <w:spacing w:line="11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数量</w:t>
            </w:r>
            <w:r/>
          </w:p>
        </w:tc>
        <w:tc>
          <w:tcPr>
            <w:tcMar>
              <w:left w:w="108" w:type="dxa"/>
              <w:top w:w="0" w:type="dxa"/>
              <w:right w:w="108" w:type="dxa"/>
              <w:bottom w:w="0" w:type="dxa"/>
            </w:tcMar>
            <w:tcW w:w="1513" w:type="dxa"/>
            <w:vAlign w:val="center"/>
            <w:textDirection w:val="lrTb"/>
            <w:noWrap w:val="false"/>
          </w:tcPr>
          <w:p>
            <w:pPr>
              <w:jc w:val="center"/>
              <w:spacing w:line="11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单价（元）</w:t>
            </w:r>
            <w:r/>
          </w:p>
        </w:tc>
        <w:tc>
          <w:tcPr>
            <w:tcMar>
              <w:left w:w="108" w:type="dxa"/>
              <w:top w:w="0" w:type="dxa"/>
              <w:right w:w="108" w:type="dxa"/>
              <w:bottom w:w="0" w:type="dxa"/>
            </w:tcMar>
            <w:tcW w:w="1640" w:type="dxa"/>
            <w:vAlign w:val="center"/>
            <w:textDirection w:val="lrTb"/>
            <w:noWrap w:val="false"/>
          </w:tcPr>
          <w:p>
            <w:pPr>
              <w:jc w:val="center"/>
              <w:spacing w:line="11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质保年限</w:t>
            </w:r>
            <w:r/>
          </w:p>
        </w:tc>
      </w:tr>
      <w:tr>
        <w:trPr>
          <w:trHeight w:val="284"/>
        </w:trPr>
        <w:tc>
          <w:tcPr>
            <w:tcMar>
              <w:left w:w="108" w:type="dxa"/>
              <w:top w:w="0" w:type="dxa"/>
              <w:right w:w="108" w:type="dxa"/>
              <w:bottom w:w="0" w:type="dxa"/>
            </w:tcMar>
            <w:tcW w:w="690" w:type="dxa"/>
            <w:vAlign w:val="center"/>
            <w:textDirection w:val="lrTb"/>
            <w:noWrap w:val="false"/>
          </w:tcPr>
          <w:p>
            <w:pPr>
              <w:jc w:val="center"/>
              <w:spacing w:line="11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108" w:type="dxa"/>
              <w:top w:w="0" w:type="dxa"/>
              <w:right w:w="108" w:type="dxa"/>
              <w:bottom w:w="0" w:type="dxa"/>
            </w:tcMar>
            <w:tcW w:w="1784" w:type="dxa"/>
            <w:vAlign w:val="center"/>
            <w:textDirection w:val="lrTb"/>
            <w:noWrap w:val="false"/>
          </w:tcPr>
          <w:p>
            <w:pPr>
              <w:jc w:val="center"/>
              <w:spacing w:line="11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108" w:type="dxa"/>
              <w:top w:w="0" w:type="dxa"/>
              <w:right w:w="108" w:type="dxa"/>
              <w:bottom w:w="0" w:type="dxa"/>
            </w:tcMar>
            <w:tcW w:w="2711" w:type="dxa"/>
            <w:vAlign w:val="center"/>
            <w:textDirection w:val="lrTb"/>
            <w:noWrap w:val="false"/>
          </w:tcPr>
          <w:p>
            <w:pPr>
              <w:jc w:val="center"/>
              <w:spacing w:line="11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gridSpan w:val="2"/>
            <w:tcMar>
              <w:left w:w="108" w:type="dxa"/>
              <w:top w:w="0" w:type="dxa"/>
              <w:right w:w="108" w:type="dxa"/>
              <w:bottom w:w="0" w:type="dxa"/>
            </w:tcMar>
            <w:tcW w:w="1016" w:type="dxa"/>
            <w:vAlign w:val="center"/>
            <w:textDirection w:val="lrTb"/>
            <w:noWrap w:val="false"/>
          </w:tcPr>
          <w:p>
            <w:pPr>
              <w:jc w:val="center"/>
              <w:spacing w:line="11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108" w:type="dxa"/>
              <w:top w:w="0" w:type="dxa"/>
              <w:right w:w="108" w:type="dxa"/>
              <w:bottom w:w="0" w:type="dxa"/>
            </w:tcMar>
            <w:tcW w:w="1513" w:type="dxa"/>
            <w:vAlign w:val="center"/>
            <w:textDirection w:val="lrTb"/>
            <w:noWrap w:val="false"/>
          </w:tcPr>
          <w:p>
            <w:pPr>
              <w:jc w:val="center"/>
              <w:spacing w:line="11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108" w:type="dxa"/>
              <w:top w:w="0" w:type="dxa"/>
              <w:right w:w="108" w:type="dxa"/>
              <w:bottom w:w="0" w:type="dxa"/>
            </w:tcMar>
            <w:tcW w:w="1640" w:type="dxa"/>
            <w:vAlign w:val="center"/>
            <w:textDirection w:val="lrTb"/>
            <w:noWrap w:val="false"/>
          </w:tcPr>
          <w:p>
            <w:pPr>
              <w:jc w:val="center"/>
              <w:spacing w:line="11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r>
      <w:tr>
        <w:trPr>
          <w:trHeight w:val="284"/>
        </w:trPr>
        <w:tc>
          <w:tcPr>
            <w:tcMar>
              <w:left w:w="108" w:type="dxa"/>
              <w:top w:w="0" w:type="dxa"/>
              <w:right w:w="108" w:type="dxa"/>
              <w:bottom w:w="0" w:type="dxa"/>
            </w:tcMar>
            <w:tcW w:w="690" w:type="dxa"/>
            <w:vAlign w:val="center"/>
            <w:textDirection w:val="lrTb"/>
            <w:noWrap w:val="false"/>
          </w:tcPr>
          <w:p>
            <w:pPr>
              <w:jc w:val="center"/>
              <w:spacing w:line="11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108" w:type="dxa"/>
              <w:top w:w="0" w:type="dxa"/>
              <w:right w:w="108" w:type="dxa"/>
              <w:bottom w:w="0" w:type="dxa"/>
            </w:tcMar>
            <w:tcW w:w="1784" w:type="dxa"/>
            <w:vAlign w:val="center"/>
            <w:textDirection w:val="lrTb"/>
            <w:noWrap w:val="false"/>
          </w:tcPr>
          <w:p>
            <w:pPr>
              <w:jc w:val="center"/>
              <w:spacing w:line="11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108" w:type="dxa"/>
              <w:top w:w="0" w:type="dxa"/>
              <w:right w:w="108" w:type="dxa"/>
              <w:bottom w:w="0" w:type="dxa"/>
            </w:tcMar>
            <w:tcW w:w="2711" w:type="dxa"/>
            <w:vAlign w:val="center"/>
            <w:textDirection w:val="lrTb"/>
            <w:noWrap w:val="false"/>
          </w:tcPr>
          <w:p>
            <w:pPr>
              <w:jc w:val="center"/>
              <w:spacing w:line="11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gridSpan w:val="2"/>
            <w:tcMar>
              <w:left w:w="108" w:type="dxa"/>
              <w:top w:w="0" w:type="dxa"/>
              <w:right w:w="108" w:type="dxa"/>
              <w:bottom w:w="0" w:type="dxa"/>
            </w:tcMar>
            <w:tcW w:w="1016" w:type="dxa"/>
            <w:vAlign w:val="center"/>
            <w:textDirection w:val="lrTb"/>
            <w:noWrap w:val="false"/>
          </w:tcPr>
          <w:p>
            <w:pPr>
              <w:jc w:val="center"/>
              <w:spacing w:line="11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108" w:type="dxa"/>
              <w:top w:w="0" w:type="dxa"/>
              <w:right w:w="108" w:type="dxa"/>
              <w:bottom w:w="0" w:type="dxa"/>
            </w:tcMar>
            <w:tcW w:w="1513" w:type="dxa"/>
            <w:vAlign w:val="center"/>
            <w:textDirection w:val="lrTb"/>
            <w:noWrap w:val="false"/>
          </w:tcPr>
          <w:p>
            <w:pPr>
              <w:jc w:val="center"/>
              <w:spacing w:line="11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108" w:type="dxa"/>
              <w:top w:w="0" w:type="dxa"/>
              <w:right w:w="108" w:type="dxa"/>
              <w:bottom w:w="0" w:type="dxa"/>
            </w:tcMar>
            <w:tcW w:w="1640" w:type="dxa"/>
            <w:vAlign w:val="center"/>
            <w:textDirection w:val="lrTb"/>
            <w:noWrap w:val="false"/>
          </w:tcPr>
          <w:p>
            <w:pPr>
              <w:jc w:val="center"/>
              <w:spacing w:line="11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r>
      <w:tr>
        <w:trPr>
          <w:trHeight w:val="284"/>
        </w:trPr>
        <w:tc>
          <w:tcPr>
            <w:tcMar>
              <w:left w:w="108" w:type="dxa"/>
              <w:top w:w="0" w:type="dxa"/>
              <w:right w:w="108" w:type="dxa"/>
              <w:bottom w:w="0" w:type="dxa"/>
            </w:tcMar>
            <w:tcW w:w="690" w:type="dxa"/>
            <w:vAlign w:val="center"/>
            <w:textDirection w:val="lrTb"/>
            <w:noWrap w:val="false"/>
          </w:tcPr>
          <w:p>
            <w:pPr>
              <w:jc w:val="center"/>
              <w:spacing w:line="11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108" w:type="dxa"/>
              <w:top w:w="0" w:type="dxa"/>
              <w:right w:w="108" w:type="dxa"/>
              <w:bottom w:w="0" w:type="dxa"/>
            </w:tcMar>
            <w:tcW w:w="1784" w:type="dxa"/>
            <w:vAlign w:val="center"/>
            <w:textDirection w:val="lrTb"/>
            <w:noWrap w:val="false"/>
          </w:tcPr>
          <w:p>
            <w:pPr>
              <w:jc w:val="center"/>
              <w:spacing w:line="11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108" w:type="dxa"/>
              <w:top w:w="0" w:type="dxa"/>
              <w:right w:w="108" w:type="dxa"/>
              <w:bottom w:w="0" w:type="dxa"/>
            </w:tcMar>
            <w:tcW w:w="2711" w:type="dxa"/>
            <w:vAlign w:val="center"/>
            <w:textDirection w:val="lrTb"/>
            <w:noWrap w:val="false"/>
          </w:tcPr>
          <w:p>
            <w:pPr>
              <w:jc w:val="center"/>
              <w:spacing w:line="11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gridSpan w:val="2"/>
            <w:tcMar>
              <w:left w:w="108" w:type="dxa"/>
              <w:top w:w="0" w:type="dxa"/>
              <w:right w:w="108" w:type="dxa"/>
              <w:bottom w:w="0" w:type="dxa"/>
            </w:tcMar>
            <w:tcW w:w="1016" w:type="dxa"/>
            <w:vAlign w:val="center"/>
            <w:textDirection w:val="lrTb"/>
            <w:noWrap w:val="false"/>
          </w:tcPr>
          <w:p>
            <w:pPr>
              <w:jc w:val="center"/>
              <w:spacing w:line="11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108" w:type="dxa"/>
              <w:top w:w="0" w:type="dxa"/>
              <w:right w:w="108" w:type="dxa"/>
              <w:bottom w:w="0" w:type="dxa"/>
            </w:tcMar>
            <w:tcW w:w="1513" w:type="dxa"/>
            <w:vAlign w:val="center"/>
            <w:textDirection w:val="lrTb"/>
            <w:noWrap w:val="false"/>
          </w:tcPr>
          <w:p>
            <w:pPr>
              <w:jc w:val="center"/>
              <w:spacing w:line="11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108" w:type="dxa"/>
              <w:top w:w="0" w:type="dxa"/>
              <w:right w:w="108" w:type="dxa"/>
              <w:bottom w:w="0" w:type="dxa"/>
            </w:tcMar>
            <w:tcW w:w="1640" w:type="dxa"/>
            <w:vAlign w:val="center"/>
            <w:textDirection w:val="lrTb"/>
            <w:noWrap w:val="false"/>
          </w:tcPr>
          <w:p>
            <w:pPr>
              <w:jc w:val="center"/>
              <w:spacing w:line="11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r>
      <w:tr>
        <w:trPr>
          <w:trHeight w:val="284"/>
        </w:trPr>
        <w:tc>
          <w:tcPr>
            <w:tcMar>
              <w:left w:w="108" w:type="dxa"/>
              <w:top w:w="0" w:type="dxa"/>
              <w:right w:w="108" w:type="dxa"/>
              <w:bottom w:w="0" w:type="dxa"/>
            </w:tcMar>
            <w:tcW w:w="690" w:type="dxa"/>
            <w:vAlign w:val="center"/>
            <w:textDirection w:val="lrTb"/>
            <w:noWrap w:val="false"/>
          </w:tcPr>
          <w:p>
            <w:pPr>
              <w:jc w:val="center"/>
              <w:spacing w:line="11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108" w:type="dxa"/>
              <w:top w:w="0" w:type="dxa"/>
              <w:right w:w="108" w:type="dxa"/>
              <w:bottom w:w="0" w:type="dxa"/>
            </w:tcMar>
            <w:tcW w:w="1784" w:type="dxa"/>
            <w:vAlign w:val="center"/>
            <w:textDirection w:val="lrTb"/>
            <w:noWrap w:val="false"/>
          </w:tcPr>
          <w:p>
            <w:pPr>
              <w:jc w:val="center"/>
              <w:spacing w:line="11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108" w:type="dxa"/>
              <w:top w:w="0" w:type="dxa"/>
              <w:right w:w="108" w:type="dxa"/>
              <w:bottom w:w="0" w:type="dxa"/>
            </w:tcMar>
            <w:tcW w:w="2711" w:type="dxa"/>
            <w:vAlign w:val="center"/>
            <w:textDirection w:val="lrTb"/>
            <w:noWrap w:val="false"/>
          </w:tcPr>
          <w:p>
            <w:pPr>
              <w:jc w:val="center"/>
              <w:spacing w:line="11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gridSpan w:val="2"/>
            <w:tcMar>
              <w:left w:w="108" w:type="dxa"/>
              <w:top w:w="0" w:type="dxa"/>
              <w:right w:w="108" w:type="dxa"/>
              <w:bottom w:w="0" w:type="dxa"/>
            </w:tcMar>
            <w:tcW w:w="1016" w:type="dxa"/>
            <w:vAlign w:val="center"/>
            <w:textDirection w:val="lrTb"/>
            <w:noWrap w:val="false"/>
          </w:tcPr>
          <w:p>
            <w:pPr>
              <w:jc w:val="center"/>
              <w:spacing w:line="11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108" w:type="dxa"/>
              <w:top w:w="0" w:type="dxa"/>
              <w:right w:w="108" w:type="dxa"/>
              <w:bottom w:w="0" w:type="dxa"/>
            </w:tcMar>
            <w:tcW w:w="1513" w:type="dxa"/>
            <w:vAlign w:val="center"/>
            <w:textDirection w:val="lrTb"/>
            <w:noWrap w:val="false"/>
          </w:tcPr>
          <w:p>
            <w:pPr>
              <w:jc w:val="center"/>
              <w:spacing w:line="11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c>
          <w:tcPr>
            <w:tcMar>
              <w:left w:w="108" w:type="dxa"/>
              <w:top w:w="0" w:type="dxa"/>
              <w:right w:w="108" w:type="dxa"/>
              <w:bottom w:w="0" w:type="dxa"/>
            </w:tcMar>
            <w:tcW w:w="1640" w:type="dxa"/>
            <w:vAlign w:val="center"/>
            <w:textDirection w:val="lrTb"/>
            <w:noWrap w:val="false"/>
          </w:tcPr>
          <w:p>
            <w:pPr>
              <w:jc w:val="center"/>
              <w:spacing w:line="11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tc>
      </w:tr>
    </w:tbl>
    <w:p>
      <w:pP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p>
      <w:pPr>
        <w:spacing w:before="240" w:after="240" w:line="85" w:lineRule="atLeast"/>
        <w:shd w:val="clear" w:color="ffffff" w:fill="ffff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供应商</w:t>
      </w:r>
      <w:r>
        <w:rPr>
          <w:rFonts w:hint="eastAsia" w:ascii="宋体" w:hAnsi="宋体" w:eastAsia="宋体" w:cs="宋体"/>
          <w:color w:val="000000"/>
          <w:highlight w:val="none"/>
        </w:rPr>
        <w:t xml:space="preserve">（盖章）：</w:t>
      </w:r>
      <w:r>
        <w:rPr>
          <w:rFonts w:hint="eastAsia" w:ascii="宋体" w:hAnsi="宋体" w:eastAsia="宋体" w:cs="宋体"/>
          <w:color w:val="000000"/>
          <w:highlight w:val="none"/>
          <w:u w:val="single"/>
        </w:rPr>
        <w:t xml:space="preserve">                      </w:t>
      </w:r>
      <w:r/>
    </w:p>
    <w:p>
      <w:pPr>
        <w:jc w:val="both"/>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日期：</w:t>
      </w:r>
      <w:r>
        <w:rPr>
          <w:rFonts w:hint="eastAsia" w:ascii="宋体" w:hAnsi="宋体" w:eastAsia="宋体" w:cs="宋体"/>
          <w:color w:val="000000"/>
          <w:highlight w:val="none"/>
          <w:u w:val="single"/>
        </w:rPr>
        <w:t xml:space="preserve">             </w:t>
      </w:r>
      <w:r/>
    </w:p>
    <w:p>
      <w:pPr>
        <w:spacing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说明：</w:t>
      </w:r>
      <w:r/>
    </w:p>
    <w:p>
      <w:pP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1.如果行数不够，请自行增加。</w:t>
      </w:r>
      <w:r/>
    </w:p>
    <w:p>
      <w:pP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rPr>
        <w:t xml:space="preserve">2.供应商应根据上表要求逐一说明投标货物名称、品牌、规格型号等。</w:t>
      </w:r>
      <w:r/>
    </w:p>
    <w:p>
      <w:pPr>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br w:type="page" w:clear="all"/>
      </w:r>
      <w:r>
        <w:rPr>
          <w:rFonts w:hint="eastAsia" w:ascii="宋体" w:hAnsi="宋体" w:eastAsia="宋体" w:cs="宋体"/>
          <w:color w:val="000000"/>
          <w:sz w:val="24"/>
          <w:highlight w:val="none"/>
        </w:rPr>
        <w:t xml:space="preserve">附件十、无重大违法记录声明格式</w:t>
      </w:r>
      <w:r/>
    </w:p>
    <w:p>
      <w:pPr>
        <w:jc w:val="center"/>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jc w:val="center"/>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无重大违法记录声明</w:t>
      </w:r>
      <w:r/>
    </w:p>
    <w:p>
      <w:pPr>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u w:val="single"/>
          <w:lang w:eastAsia="zh-CN"/>
        </w:rPr>
        <w:t xml:space="preserve">南京溧水经济开发区管理委员会</w:t>
      </w:r>
      <w:r>
        <w:rPr>
          <w:rFonts w:hint="eastAsia" w:ascii="宋体" w:hAnsi="宋体" w:eastAsia="宋体" w:cs="宋体"/>
          <w:color w:val="000000"/>
          <w:highlight w:val="none"/>
        </w:rPr>
        <w:t xml:space="preserve">：</w:t>
      </w:r>
      <w:r/>
    </w:p>
    <w:p>
      <w:pPr>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p>
      <w:pPr>
        <w:ind w:firstLine="480"/>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我单位</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（供应商名称）郑重声明：</w:t>
      </w:r>
      <w:r/>
    </w:p>
    <w:p>
      <w:pPr>
        <w:ind w:firstLine="480"/>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参加政府采购活动前3年内在经营活动中</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（在下划线上如实填写：有或没有）重大违法记录。</w:t>
      </w:r>
      <w:r/>
    </w:p>
    <w:p>
      <w:pPr>
        <w:ind w:firstLine="360"/>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p>
      <w:pPr>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p>
      <w:pPr>
        <w:ind w:firstLine="4830"/>
        <w:spacing w:line="360" w:lineRule="auto"/>
        <w:shd w:val="clear" w:color="auto" w:fill="ffffff"/>
        <w:rPr>
          <w:rFonts w:hint="eastAsia" w:ascii="宋体" w:hAnsi="宋体" w:eastAsia="宋体" w:cs="宋体"/>
          <w:szCs w:val="21"/>
          <w:highlight w:val="none"/>
        </w:rPr>
      </w:pPr>
      <w:r>
        <w:rPr>
          <w:rFonts w:hint="eastAsia" w:ascii="宋体" w:hAnsi="宋体" w:eastAsia="宋体" w:cs="宋体"/>
          <w:highlight w:val="none"/>
        </w:rPr>
        <w:t xml:space="preserve">声明人：</w:t>
      </w:r>
      <w:r>
        <w:rPr>
          <w:rFonts w:hint="eastAsia" w:ascii="宋体" w:hAnsi="宋体" w:eastAsia="宋体" w:cs="宋体"/>
          <w:szCs w:val="21"/>
          <w:highlight w:val="none"/>
        </w:rPr>
        <w:t xml:space="preserve">（加盖电子公章）    </w:t>
      </w:r>
      <w:r/>
    </w:p>
    <w:p>
      <w:pPr>
        <w:ind w:firstLine="5103"/>
        <w:spacing w:line="360" w:lineRule="auto"/>
        <w:rPr>
          <w:rFonts w:hint="eastAsia" w:ascii="宋体" w:hAnsi="宋体" w:eastAsia="宋体" w:cs="宋体"/>
          <w:highlight w:val="none"/>
        </w:rPr>
      </w:pPr>
      <w:r>
        <w:rPr>
          <w:rFonts w:hint="eastAsia" w:ascii="宋体" w:hAnsi="宋体" w:eastAsia="宋体" w:cs="宋体"/>
          <w:highlight w:val="none"/>
        </w:rPr>
      </w:r>
      <w:r/>
    </w:p>
    <w:p>
      <w:pPr>
        <w:jc w:val="right"/>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highlight w:val="none"/>
          <w:lang w:val="zh-CN"/>
        </w:rPr>
        <w:t xml:space="preserve">日期：</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lang w:val="zh-CN"/>
        </w:rPr>
        <w:t xml:space="preserve">年</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lang w:val="zh-CN"/>
        </w:rPr>
        <w:t xml:space="preserve">月</w:t>
      </w:r>
      <w:r>
        <w:rPr>
          <w:rFonts w:hint="eastAsia" w:ascii="宋体" w:hAnsi="宋体" w:eastAsia="宋体" w:cs="宋体"/>
          <w:szCs w:val="21"/>
          <w:highlight w:val="none"/>
          <w:lang w:val="en-US" w:eastAsia="zh-CN"/>
        </w:rPr>
        <w:t xml:space="preserve">     日</w:t>
      </w:r>
      <w:r>
        <w:rPr>
          <w:rFonts w:hint="eastAsia" w:ascii="宋体" w:hAnsi="宋体" w:eastAsia="宋体" w:cs="宋体"/>
          <w:color w:val="000000"/>
          <w:highlight w:val="none"/>
        </w:rPr>
        <w:t xml:space="preserve"> </w:t>
      </w:r>
      <w:r/>
    </w:p>
    <w:p>
      <w:pPr>
        <w:spacing w:line="85" w:lineRule="atLeast"/>
        <w:shd w:val="clear" w:color="ffffff" w:fill="ffff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spacing w:line="85" w:lineRule="atLeast"/>
        <w:shd w:val="clear" w:color="ffffff" w:fill="ffff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right="480"/>
        <w:jc w:val="center"/>
        <w:spacing w:before="240" w:after="240" w:line="85" w:lineRule="atLeast"/>
        <w:shd w:val="clear" w:color="ffffff" w:fill="ffff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jc w:val="both"/>
        <w:spacing w:before="26"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jc w:val="both"/>
        <w:spacing w:before="26"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附件十一：具备履行合同所必需的设备和专业技术能力的声明格式</w:t>
      </w:r>
      <w:r/>
    </w:p>
    <w:p>
      <w:pPr>
        <w:jc w:val="center"/>
        <w:spacing w:before="26" w:line="85" w:lineRule="atLeast"/>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r>
      <w:r/>
    </w:p>
    <w:p>
      <w:pPr>
        <w:jc w:val="center"/>
        <w:spacing w:before="26"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具备履行合同所必需的设备和专业技术能力</w:t>
      </w:r>
      <w:r/>
    </w:p>
    <w:p>
      <w:pPr>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u w:val="single"/>
          <w:lang w:eastAsia="zh-CN"/>
        </w:rPr>
        <w:t xml:space="preserve">南京溧水经济开发区管理委员会</w:t>
      </w:r>
      <w:r>
        <w:rPr>
          <w:rFonts w:hint="eastAsia" w:ascii="宋体" w:hAnsi="宋体" w:eastAsia="宋体" w:cs="宋体"/>
          <w:color w:val="000000"/>
          <w:highlight w:val="none"/>
        </w:rPr>
        <w:t xml:space="preserve">： </w:t>
      </w:r>
      <w:r/>
    </w:p>
    <w:p>
      <w:pPr>
        <w:jc w:val="both"/>
        <w:spacing w:before="26" w:after="12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jc w:val="both"/>
        <w:spacing w:before="26" w:after="12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我单位</w:t>
      </w:r>
      <w:r>
        <w:rPr>
          <w:rFonts w:hint="eastAsia" w:ascii="宋体" w:hAnsi="宋体" w:eastAsia="宋体" w:cs="宋体"/>
          <w:color w:val="000000"/>
          <w:highlight w:val="none"/>
          <w:u w:val="single"/>
        </w:rPr>
        <w:t xml:space="preserve">（供应商名称）</w:t>
      </w:r>
      <w:r>
        <w:rPr>
          <w:rFonts w:hint="eastAsia" w:ascii="宋体" w:hAnsi="宋体" w:eastAsia="宋体" w:cs="宋体"/>
          <w:color w:val="000000"/>
          <w:highlight w:val="none"/>
        </w:rPr>
        <w:t xml:space="preserve">郑重声明：</w:t>
      </w:r>
      <w:r/>
    </w:p>
    <w:p>
      <w:pPr>
        <w:jc w:val="both"/>
        <w:spacing w:before="26" w:after="12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464"/>
        <w:spacing w:line="360" w:lineRule="auto"/>
        <w:rPr>
          <w:rFonts w:hint="eastAsia" w:ascii="宋体" w:hAnsi="宋体" w:eastAsia="宋体" w:cs="宋体"/>
          <w:spacing w:val="6"/>
          <w:sz w:val="22"/>
          <w:highlight w:val="none"/>
        </w:rPr>
      </w:pPr>
      <w:r>
        <w:rPr>
          <w:rFonts w:hint="eastAsia" w:ascii="宋体" w:hAnsi="宋体" w:eastAsia="宋体" w:cs="宋体"/>
          <w:spacing w:val="6"/>
          <w:sz w:val="22"/>
          <w:highlight w:val="none"/>
        </w:rPr>
        <w:t xml:space="preserve">我单位具备履行本项采购合同所必需的设备和专业技术能力，为履行本项采购合同我公司具备如下主要设备和主要专业技术能力：</w:t>
      </w:r>
      <w:r/>
    </w:p>
    <w:p>
      <w:pPr>
        <w:ind w:firstLine="464"/>
        <w:spacing w:line="360" w:lineRule="auto"/>
        <w:rPr>
          <w:rFonts w:hint="eastAsia" w:ascii="宋体" w:hAnsi="宋体" w:eastAsia="宋体" w:cs="宋体"/>
          <w:spacing w:val="6"/>
          <w:sz w:val="22"/>
          <w:highlight w:val="none"/>
        </w:rPr>
      </w:pPr>
      <w:r>
        <w:rPr>
          <w:rFonts w:hint="eastAsia" w:ascii="宋体" w:hAnsi="宋体" w:eastAsia="宋体" w:cs="宋体"/>
          <w:spacing w:val="6"/>
          <w:sz w:val="22"/>
          <w:highlight w:val="none"/>
        </w:rPr>
        <w:t xml:space="preserve">主要设备有：</w:t>
      </w:r>
      <w:r>
        <w:rPr>
          <w:rFonts w:hint="eastAsia" w:ascii="宋体" w:hAnsi="宋体" w:eastAsia="宋体" w:cs="宋体"/>
          <w:spacing w:val="6"/>
          <w:sz w:val="22"/>
          <w:highlight w:val="none"/>
          <w:u w:val="single"/>
        </w:rPr>
        <w:t xml:space="preserve">                   </w:t>
      </w:r>
      <w:r>
        <w:rPr>
          <w:rFonts w:hint="eastAsia" w:ascii="宋体" w:hAnsi="宋体" w:eastAsia="宋体" w:cs="宋体"/>
          <w:spacing w:val="6"/>
          <w:sz w:val="22"/>
          <w:highlight w:val="none"/>
        </w:rPr>
        <w:t xml:space="preserve">。</w:t>
      </w:r>
      <w:r/>
    </w:p>
    <w:p>
      <w:pPr>
        <w:ind w:firstLine="464"/>
        <w:spacing w:line="360" w:lineRule="auto"/>
        <w:rPr>
          <w:rFonts w:hint="eastAsia" w:ascii="宋体" w:hAnsi="宋体" w:eastAsia="宋体" w:cs="宋体"/>
          <w:spacing w:val="6"/>
          <w:sz w:val="22"/>
          <w:highlight w:val="none"/>
        </w:rPr>
      </w:pPr>
      <w:r>
        <w:rPr>
          <w:rFonts w:hint="eastAsia" w:ascii="宋体" w:hAnsi="宋体" w:eastAsia="宋体" w:cs="宋体"/>
          <w:spacing w:val="6"/>
          <w:sz w:val="22"/>
          <w:highlight w:val="none"/>
        </w:rPr>
        <w:t xml:space="preserve">主要专业技术能力有：</w:t>
      </w:r>
      <w:r>
        <w:rPr>
          <w:rFonts w:hint="eastAsia" w:ascii="宋体" w:hAnsi="宋体" w:eastAsia="宋体" w:cs="宋体"/>
          <w:spacing w:val="6"/>
          <w:sz w:val="22"/>
          <w:highlight w:val="none"/>
          <w:u w:val="single"/>
        </w:rPr>
        <w:t xml:space="preserve">             </w:t>
      </w:r>
      <w:r>
        <w:rPr>
          <w:rFonts w:hint="eastAsia" w:ascii="宋体" w:hAnsi="宋体" w:eastAsia="宋体" w:cs="宋体"/>
          <w:spacing w:val="6"/>
          <w:sz w:val="22"/>
          <w:highlight w:val="none"/>
        </w:rPr>
        <w:t xml:space="preserve">。</w:t>
      </w:r>
      <w:r/>
    </w:p>
    <w:p>
      <w:pPr>
        <w:rPr>
          <w:rFonts w:hint="eastAsia" w:ascii="宋体" w:hAnsi="宋体" w:eastAsia="宋体" w:cs="宋体"/>
          <w:bCs/>
          <w:sz w:val="22"/>
          <w:highlight w:val="none"/>
        </w:rPr>
      </w:pPr>
      <w:r>
        <w:rPr>
          <w:rFonts w:hint="eastAsia" w:ascii="宋体" w:hAnsi="宋体" w:eastAsia="宋体" w:cs="宋体"/>
          <w:bCs/>
          <w:sz w:val="22"/>
          <w:highlight w:val="none"/>
        </w:rPr>
        <w:t xml:space="preserve">                                     </w:t>
      </w:r>
      <w:r/>
    </w:p>
    <w:p>
      <w:pPr>
        <w:ind w:right="169"/>
        <w:jc w:val="center"/>
        <w:tabs>
          <w:tab w:val="left" w:pos="9240" w:leader="none"/>
        </w:tabs>
        <w:rPr>
          <w:rFonts w:hint="eastAsia" w:ascii="宋体" w:hAnsi="宋体" w:eastAsia="宋体" w:cs="宋体"/>
          <w:sz w:val="22"/>
          <w:highlight w:val="none"/>
        </w:rPr>
      </w:pPr>
      <w:r>
        <w:rPr>
          <w:rFonts w:hint="eastAsia" w:ascii="宋体" w:hAnsi="宋体" w:eastAsia="宋体" w:cs="宋体"/>
          <w:sz w:val="20"/>
          <w:szCs w:val="20"/>
          <w:highlight w:val="none"/>
          <w:lang w:val="zh-CN"/>
        </w:rPr>
        <w:t xml:space="preserve">                                                          </w:t>
      </w:r>
      <w:r>
        <w:rPr>
          <w:rFonts w:hint="eastAsia" w:ascii="宋体" w:hAnsi="宋体" w:eastAsia="宋体" w:cs="宋体"/>
          <w:color w:val="000000"/>
          <w:highlight w:val="none"/>
          <w:lang w:eastAsia="zh-CN"/>
        </w:rPr>
        <w:t xml:space="preserve">供应商</w:t>
      </w:r>
      <w:r>
        <w:rPr>
          <w:rFonts w:hint="eastAsia" w:ascii="宋体" w:hAnsi="宋体" w:eastAsia="宋体" w:cs="宋体"/>
          <w:sz w:val="22"/>
          <w:highlight w:val="none"/>
        </w:rPr>
        <w:t xml:space="preserve">（加盖电子公章）：            </w:t>
      </w:r>
      <w:r/>
    </w:p>
    <w:p>
      <w:pPr>
        <w:ind w:right="420"/>
        <w:jc w:val="center"/>
        <w:rPr>
          <w:rFonts w:hint="eastAsia" w:ascii="宋体" w:hAnsi="宋体" w:eastAsia="宋体" w:cs="宋体"/>
          <w:sz w:val="22"/>
          <w:highlight w:val="none"/>
        </w:rPr>
      </w:pPr>
      <w:r>
        <w:rPr>
          <w:rFonts w:hint="eastAsia" w:ascii="宋体" w:hAnsi="宋体" w:eastAsia="宋体" w:cs="宋体"/>
          <w:sz w:val="22"/>
          <w:highlight w:val="none"/>
          <w:lang w:val="zh-CN"/>
        </w:rPr>
        <w:t xml:space="preserve">                                              </w:t>
      </w:r>
      <w:r/>
    </w:p>
    <w:p>
      <w:pPr>
        <w:jc w:val="right"/>
        <w:rPr>
          <w:rFonts w:hint="eastAsia" w:ascii="宋体" w:hAnsi="宋体" w:eastAsia="宋体" w:cs="宋体"/>
          <w:sz w:val="20"/>
          <w:szCs w:val="20"/>
          <w:highlight w:val="none"/>
        </w:rPr>
      </w:pPr>
      <w:r>
        <w:rPr>
          <w:rFonts w:hint="eastAsia" w:ascii="宋体" w:hAnsi="宋体" w:eastAsia="宋体" w:cs="宋体"/>
          <w:sz w:val="22"/>
          <w:highlight w:val="none"/>
        </w:rPr>
        <w:t xml:space="preserve">   </w:t>
      </w:r>
      <w:r>
        <w:rPr>
          <w:rFonts w:hint="eastAsia" w:ascii="宋体" w:hAnsi="宋体" w:eastAsia="宋体" w:cs="宋体"/>
          <w:sz w:val="22"/>
          <w:highlight w:val="none"/>
          <w:lang w:val="zh-CN"/>
        </w:rPr>
        <w:t xml:space="preserve">日   期：   年   月  日</w:t>
      </w:r>
      <w:r/>
    </w:p>
    <w:p>
      <w:pPr>
        <w:spacing w:line="85" w:lineRule="atLeast"/>
        <w:shd w:val="clear" w:color="ffffff" w:fill="ffff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spacing w:line="85" w:lineRule="atLeast"/>
        <w:shd w:val="clear" w:color="ffffff" w:fill="ffff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br w:type="page" w:clear="all"/>
      </w:r>
      <w:r>
        <w:rPr>
          <w:rFonts w:hint="eastAsia" w:ascii="宋体" w:hAnsi="宋体" w:eastAsia="宋体" w:cs="宋体"/>
          <w:b/>
          <w:bCs/>
          <w:color w:val="000000"/>
          <w:sz w:val="24"/>
          <w:highlight w:val="none"/>
        </w:rPr>
        <w:t xml:space="preserve">附件十二：资格证明文件</w:t>
      </w:r>
      <w:r/>
    </w:p>
    <w:p>
      <w:pPr>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1.满足《中华人民共和国政府采购法》第二十二条规定：</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（1）具有独立承担民事责任的能力（提供法人或者其他组织的营业执照等证明材料，自然人的身份证明）；</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（2）具有良好的商业信誉和健全的财务会计制度；</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（3）具有履行合同所必需的设备和专业技术能力（根据项目需求提供履行合同所必需的设备和专业技术能力的证明材料）；</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（4）有依法缴纳税收和社会保障资金的良好记录；</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（5）参加政府采购活动前三年内，在经营活动中没有重大违法记录（提供参加本次政府采购活动前3年内在经营活动中没有重大违法记录的书面声明）；</w:t>
      </w:r>
      <w:r/>
    </w:p>
    <w:p>
      <w:pPr>
        <w:ind w:firstLine="420"/>
        <w:spacing w:line="440" w:lineRule="exac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（6）法律、行政法规规定的其他条件。</w:t>
      </w:r>
      <w:r/>
    </w:p>
    <w:p>
      <w:pPr>
        <w:ind w:firstLine="420"/>
        <w:spacing w:line="440" w:lineRule="exact"/>
        <w:rPr>
          <w:rFonts w:hint="eastAsia" w:ascii="宋体" w:hAnsi="宋体" w:eastAsia="宋体" w:cs="宋体"/>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lang w:val="en-US" w:eastAsia="zh-CN"/>
        </w:rPr>
        <w:t xml:space="preserve">2.南京市政府采购供应商信用记录表暨信用承诺书（法定代表人签字并加盖公章）</w:t>
      </w:r>
      <w:r/>
    </w:p>
    <w:p>
      <w:pPr>
        <w:ind w:firstLine="420"/>
        <w:spacing w:line="440" w:lineRule="exact"/>
        <w:rPr>
          <w:rFonts w:hint="eastAsia" w:ascii="宋体" w:hAnsi="宋体" w:eastAsia="宋体" w:cs="宋体"/>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lang w:val="en-US" w:eastAsia="zh-CN"/>
        </w:rPr>
        <w:t xml:space="preserve">3.供应商资格承诺函</w:t>
      </w:r>
      <w:r/>
    </w:p>
    <w:p>
      <w:pPr>
        <w:ind w:firstLine="420"/>
        <w:spacing w:line="440" w:lineRule="exact"/>
        <w:rPr>
          <w:rFonts w:hint="default" w:ascii="宋体" w:hAnsi="宋体" w:eastAsia="宋体" w:cs="宋体"/>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lang w:val="en-US" w:eastAsia="zh-CN"/>
        </w:rPr>
        <w:t xml:space="preserve">4.供应商未被“信用中国”网站(www. creditchina. gov.cn)、“中国政府采购网”(www.ccgp.gov.cn)列入失信被执行人、重大税收违法案件当事人名单、政府采购严重违法失信行为记录名单中(提供网站截图加盖公章)。</w:t>
      </w:r>
      <w:r/>
    </w:p>
    <w:p>
      <w:pPr>
        <w:ind w:firstLine="482"/>
        <w:spacing w:line="360" w:lineRule="auto"/>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highlight w:val="none"/>
        </w:rPr>
      </w:r>
      <w:r/>
    </w:p>
    <w:p>
      <w:pP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jc w:val="both"/>
        <w:spacing w:line="85" w:lineRule="atLeast"/>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br w:type="page" w:clear="all"/>
      </w:r>
      <w:r>
        <w:rPr>
          <w:rFonts w:hint="eastAsia" w:ascii="宋体" w:hAnsi="宋体" w:eastAsia="宋体" w:cs="宋体"/>
          <w:b/>
          <w:color w:val="000000"/>
          <w:sz w:val="24"/>
          <w:highlight w:val="none"/>
        </w:rPr>
        <w:t xml:space="preserve">附件十三、中小企业声明函</w:t>
      </w:r>
      <w:r/>
    </w:p>
    <w:p>
      <w:pPr>
        <w:jc w:val="center"/>
        <w:spacing w:line="85" w:lineRule="atLeast"/>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中小企业声明函（货物）</w:t>
      </w:r>
      <w:r/>
    </w:p>
    <w:p>
      <w:pPr>
        <w:jc w:val="both"/>
        <w:spacing w:line="85" w:lineRule="atLeast"/>
        <w:shd w:val="clear" w:color="ffffff" w:fill="ffff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highlight w:val="none"/>
        </w:rPr>
        <w:t xml:space="preserve">本公司（联合体）郑重声明，根据《政府采购促进中小企业发展管理办法》（财库﹝2020﹞46 号）的规定，本公司（联合体）参加（</w:t>
      </w:r>
      <w:r>
        <w:rPr>
          <w:rFonts w:hint="eastAsia" w:ascii="宋体" w:hAnsi="宋体" w:eastAsia="宋体" w:cs="宋体"/>
          <w:color w:val="000000"/>
          <w:highlight w:val="none"/>
          <w:u w:val="single"/>
        </w:rPr>
        <w:t xml:space="preserve">单位名称）</w:t>
      </w:r>
      <w:r>
        <w:rPr>
          <w:rFonts w:hint="eastAsia" w:ascii="宋体" w:hAnsi="宋体" w:eastAsia="宋体" w:cs="宋体"/>
          <w:color w:val="000000"/>
          <w:highlight w:val="none"/>
        </w:rPr>
        <w:t xml:space="preserve">的</w:t>
      </w:r>
      <w:r>
        <w:rPr>
          <w:rFonts w:hint="eastAsia" w:ascii="宋体" w:hAnsi="宋体" w:eastAsia="宋体" w:cs="宋体"/>
          <w:color w:val="000000"/>
          <w:highlight w:val="none"/>
          <w:u w:val="single"/>
        </w:rPr>
        <w:t xml:space="preserve">（项目名称）</w:t>
      </w:r>
      <w:r>
        <w:rPr>
          <w:rFonts w:hint="eastAsia" w:ascii="宋体" w:hAnsi="宋体" w:eastAsia="宋体" w:cs="宋体"/>
          <w:color w:val="000000"/>
          <w:highlight w:val="none"/>
        </w:rPr>
        <w:t xml:space="preserve">采购活动，提供的货物全部由符合政策要求的中小企业制造。相关企业（含联合体中的中小企业、签订分包意向协议的中小企业）的具体情况如下：</w:t>
      </w:r>
      <w:r/>
    </w:p>
    <w:p>
      <w:pPr>
        <w:spacing w:line="85" w:lineRule="atLeast"/>
        <w:shd w:val="clear" w:color="ffffff" w:fill="ffff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1. </w:t>
      </w:r>
      <w:r>
        <w:rPr>
          <w:rFonts w:hint="eastAsia" w:ascii="宋体" w:hAnsi="宋体" w:eastAsia="宋体" w:cs="宋体"/>
          <w:color w:val="000000"/>
          <w:highlight w:val="none"/>
          <w:u w:val="single"/>
        </w:rPr>
        <w:t xml:space="preserve">（标的名称）</w:t>
      </w:r>
      <w:r>
        <w:rPr>
          <w:rFonts w:hint="eastAsia" w:ascii="宋体" w:hAnsi="宋体" w:eastAsia="宋体" w:cs="宋体"/>
          <w:color w:val="000000"/>
          <w:highlight w:val="none"/>
        </w:rPr>
        <w:t xml:space="preserve">，属于</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u w:val="single"/>
        </w:rPr>
        <w:t xml:space="preserve">工业（采购文件中明确的所属行业）行业</w:t>
      </w:r>
      <w:r>
        <w:rPr>
          <w:rFonts w:hint="eastAsia" w:ascii="宋体" w:hAnsi="宋体" w:eastAsia="宋体" w:cs="宋体"/>
          <w:color w:val="000000"/>
          <w:highlight w:val="none"/>
        </w:rPr>
        <w:t xml:space="preserve">；制造商为</w:t>
      </w:r>
      <w:r>
        <w:rPr>
          <w:rFonts w:hint="eastAsia" w:ascii="宋体" w:hAnsi="宋体" w:eastAsia="宋体" w:cs="宋体"/>
          <w:color w:val="000000"/>
          <w:highlight w:val="none"/>
          <w:u w:val="single"/>
        </w:rPr>
        <w:t xml:space="preserve">（企业名称）</w:t>
      </w:r>
      <w:r>
        <w:rPr>
          <w:rFonts w:hint="eastAsia" w:ascii="宋体" w:hAnsi="宋体" w:eastAsia="宋体" w:cs="宋体"/>
          <w:color w:val="000000"/>
          <w:highlight w:val="none"/>
        </w:rPr>
        <w:t xml:space="preserve">，从业人员</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人，营业收入为</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万元，资产总额为</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万元</w:t>
      </w:r>
      <w:r>
        <w:rPr>
          <w:rFonts w:hint="eastAsia" w:ascii="宋体" w:hAnsi="宋体" w:eastAsia="宋体" w:cs="宋体"/>
          <w:color w:val="000000"/>
          <w:highlight w:val="none"/>
          <w:vertAlign w:val="superscript"/>
        </w:rPr>
        <w:t xml:space="preserve">【1】</w:t>
      </w:r>
      <w:r>
        <w:rPr>
          <w:rFonts w:hint="eastAsia" w:ascii="宋体" w:hAnsi="宋体" w:eastAsia="宋体" w:cs="宋体"/>
          <w:color w:val="000000"/>
          <w:highlight w:val="none"/>
        </w:rPr>
        <w:t xml:space="preserve">，属于</w:t>
      </w:r>
      <w:r>
        <w:rPr>
          <w:rFonts w:hint="eastAsia" w:ascii="宋体" w:hAnsi="宋体" w:eastAsia="宋体" w:cs="宋体"/>
          <w:color w:val="000000"/>
          <w:highlight w:val="none"/>
          <w:u w:val="single"/>
        </w:rPr>
        <w:t xml:space="preserve">（中型企业、小型企业、微型企业）</w:t>
      </w:r>
      <w:r>
        <w:rPr>
          <w:rFonts w:hint="eastAsia" w:ascii="宋体" w:hAnsi="宋体" w:eastAsia="宋体" w:cs="宋体"/>
          <w:color w:val="000000"/>
          <w:highlight w:val="none"/>
        </w:rPr>
        <w:t xml:space="preserve">；</w:t>
      </w:r>
      <w:r/>
    </w:p>
    <w:p>
      <w:pPr>
        <w:spacing w:line="85" w:lineRule="atLeast"/>
        <w:shd w:val="clear" w:color="ffffff" w:fill="ffff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2. </w:t>
      </w:r>
      <w:r>
        <w:rPr>
          <w:rFonts w:hint="eastAsia" w:ascii="宋体" w:hAnsi="宋体" w:eastAsia="宋体" w:cs="宋体"/>
          <w:color w:val="000000"/>
          <w:highlight w:val="none"/>
          <w:u w:val="single"/>
        </w:rPr>
        <w:t xml:space="preserve">（标的名称）</w:t>
      </w:r>
      <w:r>
        <w:rPr>
          <w:rFonts w:hint="eastAsia" w:ascii="宋体" w:hAnsi="宋体" w:eastAsia="宋体" w:cs="宋体"/>
          <w:color w:val="000000"/>
          <w:highlight w:val="none"/>
        </w:rPr>
        <w:t xml:space="preserve">，属于</w:t>
      </w:r>
      <w:r>
        <w:rPr>
          <w:rFonts w:hint="eastAsia" w:ascii="宋体" w:hAnsi="宋体" w:eastAsia="宋体" w:cs="宋体"/>
          <w:color w:val="000000"/>
          <w:highlight w:val="none"/>
          <w:u w:val="single"/>
        </w:rPr>
        <w:t xml:space="preserve"> 工业（采购文件中明确的所属行业）行业</w:t>
      </w:r>
      <w:r>
        <w:rPr>
          <w:rFonts w:hint="eastAsia" w:ascii="宋体" w:hAnsi="宋体" w:eastAsia="宋体" w:cs="宋体"/>
          <w:color w:val="000000"/>
          <w:highlight w:val="none"/>
        </w:rPr>
        <w:t xml:space="preserve">；制造商为</w:t>
      </w:r>
      <w:r>
        <w:rPr>
          <w:rFonts w:hint="eastAsia" w:ascii="宋体" w:hAnsi="宋体" w:eastAsia="宋体" w:cs="宋体"/>
          <w:color w:val="000000"/>
          <w:highlight w:val="none"/>
          <w:u w:val="single"/>
        </w:rPr>
        <w:t xml:space="preserve">（企业名称）</w:t>
      </w:r>
      <w:r>
        <w:rPr>
          <w:rFonts w:hint="eastAsia" w:ascii="宋体" w:hAnsi="宋体" w:eastAsia="宋体" w:cs="宋体"/>
          <w:color w:val="000000"/>
          <w:highlight w:val="none"/>
        </w:rPr>
        <w:t xml:space="preserve">，从业人员</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人，营业收入为</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万元，资产总额为</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万元，属于</w:t>
      </w:r>
      <w:r>
        <w:rPr>
          <w:rFonts w:hint="eastAsia" w:ascii="宋体" w:hAnsi="宋体" w:eastAsia="宋体" w:cs="宋体"/>
          <w:color w:val="000000"/>
          <w:highlight w:val="none"/>
          <w:u w:val="single"/>
        </w:rPr>
        <w:t xml:space="preserve">（中型企业、小型企业、微型企业）；</w:t>
      </w:r>
      <w:r/>
    </w:p>
    <w:p>
      <w:pPr>
        <w:spacing w:line="85" w:lineRule="atLeast"/>
        <w:shd w:val="clear" w:color="ffffff" w:fill="ffff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w:t>
      </w:r>
      <w:r/>
    </w:p>
    <w:p>
      <w:pPr>
        <w:spacing w:line="85" w:lineRule="atLeast"/>
        <w:shd w:val="clear" w:color="ffffff" w:fill="ffff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以上企业，不属于大企业的分支机构，不存在控股股东为大企业的情形，也不存在与大企业的负责人为同一人的情形。</w:t>
      </w:r>
      <w:r/>
    </w:p>
    <w:p>
      <w:pPr>
        <w:spacing w:line="85" w:lineRule="atLeast"/>
        <w:shd w:val="clear" w:color="ffffff" w:fill="ffff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本企业对上述声明内容的真实性负责。如有虚假，将依法承担相应责任。</w:t>
      </w:r>
      <w:r/>
    </w:p>
    <w:p>
      <w:pPr>
        <w:ind w:firstLine="4200"/>
        <w:jc w:val="both"/>
        <w:spacing w:line="85" w:lineRule="atLeast"/>
        <w:shd w:val="clear" w:color="ffffff" w:fill="ffff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p>
      <w:pPr>
        <w:ind w:firstLine="2940"/>
        <w:jc w:val="right"/>
        <w:spacing w:before="240" w:after="240" w:line="85" w:lineRule="atLeast"/>
        <w:shd w:val="clear" w:color="ffffff" w:fill="ffffff"/>
        <w:rPr>
          <w:rFonts w:hint="default"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供应商名称</w:t>
      </w:r>
      <w:r>
        <w:rPr>
          <w:rFonts w:hint="eastAsia" w:ascii="宋体" w:hAnsi="宋体" w:eastAsia="宋体" w:cs="宋体"/>
          <w:color w:val="000000"/>
          <w:highlight w:val="none"/>
        </w:rPr>
        <w:t xml:space="preserve">（盖章）：</w:t>
      </w:r>
      <w:r>
        <w:rPr>
          <w:rFonts w:hint="eastAsia" w:ascii="宋体" w:hAnsi="宋体" w:eastAsia="宋体" w:cs="宋体"/>
          <w:color w:val="000000"/>
          <w:highlight w:val="none"/>
          <w:lang w:val="en-US" w:eastAsia="zh-CN"/>
        </w:rPr>
        <w:t xml:space="preserve">            </w:t>
      </w:r>
      <w:r/>
    </w:p>
    <w:p>
      <w:pPr>
        <w:ind w:firstLine="5880"/>
        <w:jc w:val="left"/>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日</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期：</w:t>
      </w:r>
      <w:r>
        <w:rPr>
          <w:rFonts w:hint="eastAsia" w:ascii="宋体" w:hAnsi="宋体" w:eastAsia="宋体" w:cs="宋体"/>
          <w:color w:val="000000"/>
          <w:highlight w:val="none"/>
          <w:u w:val="single"/>
        </w:rPr>
        <w:t xml:space="preserve">       </w:t>
      </w:r>
      <w:r/>
    </w:p>
    <w:p>
      <w:pPr>
        <w:ind w:right="832" w:firstLine="420"/>
        <w:jc w:val="both"/>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备注 1：从业人员、营业收入、资产总额填报上一年度</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2024年度</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数据，无上一年度</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2024年度</w:t>
      </w:r>
      <w:bookmarkStart w:id="21" w:name="_GoBack"/>
      <w:r/>
      <w:bookmarkEnd w:id="21"/>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数据的新成立企业可不填报。 </w:t>
      </w:r>
      <w:r/>
    </w:p>
    <w:p>
      <w:pPr>
        <w:ind w:right="831" w:firstLine="420"/>
        <w:jc w:val="both"/>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备注 2：供应商如不提供此声明函，</w:t>
      </w:r>
      <w:r>
        <w:rPr>
          <w:rFonts w:hint="eastAsia" w:ascii="宋体" w:hAnsi="宋体" w:eastAsia="宋体" w:cs="宋体"/>
          <w:color w:val="000000"/>
          <w:highlight w:val="none"/>
          <w:lang w:eastAsia="zh-CN"/>
        </w:rPr>
        <w:t xml:space="preserve">不得参与此项目投标</w:t>
      </w:r>
      <w:r>
        <w:rPr>
          <w:rFonts w:hint="eastAsia" w:ascii="宋体" w:hAnsi="宋体" w:eastAsia="宋体" w:cs="宋体"/>
          <w:color w:val="000000"/>
          <w:highlight w:val="none"/>
        </w:rPr>
        <w:t xml:space="preserve">。中标供应商如享受本项目中小企业扶持政策的，其声明函将随中标结果同时公告，接受社会监督。 </w:t>
      </w:r>
      <w:r/>
    </w:p>
    <w:p>
      <w:pPr>
        <w:ind w:right="633"/>
        <w:spacing w:line="85" w:lineRule="atLeast"/>
        <w:shd w:val="clear" w:color="ffffff" w:fill="ffff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right="633" w:firstLine="422"/>
        <w:spacing w:line="85" w:lineRule="atLeast"/>
        <w:shd w:val="clear" w:color="ffffff" w:fill="ffff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highlight w:val="none"/>
        </w:rPr>
        <w:t xml:space="preserve">本项目所属行业：工业。</w:t>
      </w:r>
      <w:r>
        <w:rPr>
          <w:rFonts w:hint="eastAsia" w:ascii="宋体" w:hAnsi="宋体" w:eastAsia="宋体" w:cs="宋体"/>
          <w:color w:val="000000"/>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jc w:val="both"/>
        <w:spacing w:line="85" w:lineRule="atLeast"/>
        <w:shd w:val="clear" w:color="ffffff" w:fill="ffff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jc w:val="both"/>
        <w:spacing w:line="85" w:lineRule="atLeast"/>
        <w:shd w:val="clear" w:color="ffffff" w:fill="ffff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br w:type="page" w:clear="all"/>
      </w:r>
      <w:r>
        <w:rPr>
          <w:rFonts w:hint="eastAsia" w:ascii="宋体" w:hAnsi="宋体" w:eastAsia="宋体" w:cs="宋体"/>
          <w:b/>
          <w:color w:val="000000"/>
          <w:sz w:val="24"/>
          <w:highlight w:val="none"/>
        </w:rPr>
        <w:t xml:space="preserve">附件十四、残疾人福利性单位声明函格式（如供应商为残疾人福利性单位需提供此函）</w:t>
      </w:r>
      <w:r/>
    </w:p>
    <w:p>
      <w:pPr>
        <w:jc w:val="both"/>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jc w:val="both"/>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残疾人福利性单位声明函</w:t>
      </w:r>
      <w:r/>
    </w:p>
    <w:p>
      <w:pPr>
        <w:jc w:val="both"/>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p>
      <w:pPr>
        <w:ind w:right="112" w:firstLine="420"/>
        <w:spacing w:before="154"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本单位郑重声明，根据《财政部 民政部 中国残疾人联合会关于促进残疾人就业政府采购政策 的通知》（财库〔2017〕141 号）的规定，本单位为符合条件的残疾人福利性单位，且本单位参加 单位的项目采购活动提供本单位制造的货物（由本单位承担工程/提供服务），或者提 供其他残疾人福利性单位制造的货物（不包括使用非残疾人福利性单位注册商标的货物）。</w:t>
      </w:r>
      <w:r/>
    </w:p>
    <w:p>
      <w:pPr>
        <w:ind w:left="1418" w:right="112"/>
        <w:spacing w:before="49"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本单位对上述声明的真实性负责。如有虚假，将依法承担相应责任。</w:t>
      </w:r>
      <w:r/>
    </w:p>
    <w:p>
      <w:pPr>
        <w:spacing w:before="4"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p>
      <w:pPr>
        <w:jc w:val="right"/>
        <w:spacing w:before="240" w:after="240" w:line="85" w:lineRule="atLeast"/>
        <w:shd w:val="clear" w:color="ffffff" w:fill="ffff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eastAsia="zh-CN"/>
        </w:rPr>
        <w:t xml:space="preserve">供应商名称</w:t>
      </w:r>
      <w:r>
        <w:rPr>
          <w:rFonts w:hint="eastAsia" w:ascii="宋体" w:hAnsi="宋体" w:eastAsia="宋体" w:cs="宋体"/>
          <w:color w:val="000000"/>
          <w:highlight w:val="none"/>
        </w:rPr>
        <w:t xml:space="preserve">（盖章）：</w:t>
      </w:r>
      <w:r>
        <w:rPr>
          <w:rFonts w:hint="eastAsia" w:ascii="宋体" w:hAnsi="宋体" w:eastAsia="宋体" w:cs="宋体"/>
          <w:color w:val="000000"/>
          <w:highlight w:val="none"/>
          <w:u w:val="single"/>
        </w:rPr>
        <w:t xml:space="preserve">                      </w:t>
      </w:r>
      <w:r/>
    </w:p>
    <w:p>
      <w:pPr>
        <w:jc w:val="right"/>
        <w:spacing w:before="240" w:after="240" w:line="85" w:lineRule="atLeast"/>
        <w:shd w:val="clear" w:color="ffffff" w:fill="ffff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授权代表（签字）：</w:t>
      </w:r>
      <w:r>
        <w:rPr>
          <w:rFonts w:hint="eastAsia" w:ascii="宋体" w:hAnsi="宋体" w:eastAsia="宋体" w:cs="宋体"/>
          <w:color w:val="000000"/>
          <w:highlight w:val="none"/>
          <w:u w:val="single"/>
        </w:rPr>
        <w:t xml:space="preserve">                      </w:t>
      </w:r>
      <w:r/>
    </w:p>
    <w:p>
      <w:pPr>
        <w:jc w:val="right"/>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日期：</w:t>
      </w:r>
      <w:r>
        <w:rPr>
          <w:rFonts w:hint="eastAsia" w:ascii="宋体" w:hAnsi="宋体" w:eastAsia="宋体" w:cs="宋体"/>
          <w:color w:val="000000"/>
          <w:highlight w:val="none"/>
          <w:u w:val="single"/>
        </w:rPr>
        <w:t xml:space="preserve">             </w:t>
      </w:r>
      <w:r/>
    </w:p>
    <w:p>
      <w:pPr>
        <w:jc w:val="both"/>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p>
      <w:pPr>
        <w:jc w:val="both"/>
        <w:spacing w:before="12"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right="112"/>
        <w:jc w:val="both"/>
        <w:spacing w:after="29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附件十五、属于监狱企业的证明文件（如供应商为监狱企业需提供相关证明文件）</w:t>
      </w:r>
      <w:r/>
    </w:p>
    <w:p>
      <w:pPr>
        <w:ind w:right="112"/>
        <w:jc w:val="both"/>
        <w:spacing w:before="154"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提供由省级以上监狱管理局、戒毒管理局(含新疆生产建设兵团)出具的属于监狱企业的证明文件。</w:t>
      </w:r>
      <w:r/>
    </w:p>
    <w:p>
      <w:pPr>
        <w:jc w:val="both"/>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jc w:val="both"/>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right="112"/>
        <w:jc w:val="both"/>
        <w:spacing w:before="154" w:after="29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附件十六、节能产品认证文件（如有需提供）</w:t>
      </w:r>
      <w:r/>
    </w:p>
    <w:p>
      <w:pPr>
        <w:jc w:val="both"/>
        <w:spacing w:before="154"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以供应商提供经国家确定的认证机构出具的、处于有效期之内的节能产品认证证书复印件为准。</w:t>
      </w:r>
      <w:r/>
    </w:p>
    <w:p>
      <w:pPr>
        <w:jc w:val="both"/>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jc w:val="both"/>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right="112"/>
        <w:jc w:val="both"/>
        <w:spacing w:before="154" w:after="29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附件十七、环境标志产品认证文件（如有需提供）</w:t>
      </w:r>
      <w:r/>
    </w:p>
    <w:p>
      <w:pPr>
        <w:ind w:right="112"/>
        <w:jc w:val="both"/>
        <w:spacing w:before="154"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以供应商提供经国家确定的认证机构出具的、处于有效期之内的环境标志产品认证证书复印件为准。</w:t>
      </w:r>
      <w:r/>
    </w:p>
    <w:p>
      <w:pPr>
        <w:jc w:val="both"/>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p>
    <w:p>
      <w:pPr>
        <w:jc w:val="both"/>
        <w:spacing w:line="85" w:lineRule="atLeast"/>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r>
      <w:r/>
    </w:p>
    <w:p>
      <w:pPr>
        <w:jc w:val="both"/>
        <w:spacing w:line="85" w:lineRule="atLeast"/>
        <w:rPr>
          <w:rFonts w:hint="eastAsia" w:ascii="宋体" w:hAnsi="宋体" w:eastAsia="宋体" w:cs="宋体"/>
          <w:b/>
          <w:bCs/>
          <w:sz w:val="24"/>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附件十八、其他</w:t>
      </w:r>
      <w:r>
        <w:rPr>
          <w:rFonts w:hint="eastAsia" w:ascii="宋体" w:hAnsi="宋体" w:eastAsia="宋体" w:cs="宋体"/>
          <w:b/>
          <w:bCs/>
          <w:sz w:val="24"/>
          <w:szCs w:val="28"/>
          <w:highlight w:val="none"/>
        </w:rPr>
        <w:t xml:space="preserve">资料</w:t>
      </w:r>
      <w:r/>
    </w:p>
    <w:p>
      <w:pPr>
        <w:ind w:right="633"/>
        <w:spacing w:line="85" w:lineRule="atLeast"/>
        <w:shd w:val="clear" w:color="ffffff" w:fill="ffff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（各投标人根据采购文件规定的打分细则对应提供相关证明材料等，格式自拟）</w:t>
      </w:r>
      <w:r/>
    </w:p>
    <w:p>
      <w:pPr>
        <w:jc w:val="both"/>
        <w:spacing w:line="85" w:lineRule="atLeast"/>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r>
      <w:r/>
    </w:p>
    <w:p>
      <w:pPr>
        <w:jc w:val="both"/>
        <w:spacing w:line="85" w:lineRule="atLeast"/>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r>
      <w:r/>
    </w:p>
    <w:p>
      <w:pPr>
        <w:jc w:val="both"/>
        <w:spacing w:line="85" w:lineRule="atLeast"/>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r>
      <w:r/>
    </w:p>
    <w:p>
      <w:pPr>
        <w:jc w:val="both"/>
        <w:spacing w:line="85" w:lineRule="atLeast"/>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r>
      <w:r/>
    </w:p>
    <w:p>
      <w:pPr>
        <w:jc w:val="both"/>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附件十九、技术部分</w:t>
      </w:r>
      <w:r/>
    </w:p>
    <w:p>
      <w:pPr>
        <w:ind w:right="633"/>
        <w:spacing w:before="240" w:after="240" w:line="85" w:lineRule="atLeast"/>
        <w:shd w:val="clear" w:color="ffffff" w:fill="ffff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（技术部分应根据采购人对项目的要求、评标标准的要求及项目本身的特点编写）</w:t>
      </w:r>
      <w:r/>
    </w:p>
    <w:p>
      <w:pPr>
        <w:spacing w:line="360" w:lineRule="auto"/>
        <w:shd w:val="clear" w:color="auto" w:fill="ffffff"/>
        <w:rPr>
          <w:rFonts w:hint="eastAsia" w:ascii="宋体" w:hAnsi="宋体" w:eastAsia="宋体" w:cs="宋体"/>
          <w:szCs w:val="21"/>
          <w:highlight w:val="none"/>
        </w:rPr>
      </w:pPr>
      <w:r>
        <w:rPr>
          <w:rFonts w:hint="eastAsia" w:ascii="宋体" w:hAnsi="宋体" w:eastAsia="宋体" w:cs="宋体"/>
          <w:color w:val="000000"/>
          <w:highlight w:val="none"/>
        </w:rPr>
        <w:br w:type="page" w:clear="all"/>
      </w:r>
      <w:r>
        <w:rPr>
          <w:rFonts w:hint="eastAsia" w:ascii="宋体" w:hAnsi="宋体" w:eastAsia="宋体" w:cs="宋体"/>
          <w:b/>
          <w:highlight w:val="none"/>
        </w:rPr>
        <w:t xml:space="preserve">附件二十、《南京市政府采购供应商信用记录表暨信用承诺书》</w:t>
      </w:r>
      <w:r>
        <w:rPr>
          <w:rFonts w:hint="eastAsia" w:ascii="宋体" w:hAnsi="宋体" w:eastAsia="宋体" w:cs="宋体"/>
          <w:b/>
          <w:szCs w:val="20"/>
          <w:highlight w:val="none"/>
        </w:rPr>
        <w:t xml:space="preserve">（网站在线打印）</w:t>
      </w:r>
      <w:r/>
    </w:p>
    <w:tbl>
      <w:tblPr>
        <w:tblStyle w:val="687"/>
        <w:tblW w:w="9119" w:type="dxa"/>
        <w:tblInd w:w="-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52"/>
        <w:gridCol w:w="2174"/>
        <w:gridCol w:w="2131"/>
        <w:gridCol w:w="2162"/>
      </w:tblGrid>
      <w:tr>
        <w:trPr>
          <w:trHeight w:val="884"/>
        </w:trPr>
        <w:tc>
          <w:tcPr>
            <w:tcW w:w="2652" w:type="dxa"/>
            <w:vAlign w:val="top"/>
            <w:textDirection w:val="lrTb"/>
            <w:noWrap w:val="false"/>
          </w:tcPr>
          <w:p>
            <w:pPr>
              <w:ind w:left="128"/>
              <w:spacing w:before="160" w:line="229" w:lineRule="auto"/>
              <w:rPr>
                <w:rFonts w:hint="eastAsia" w:ascii="宋体" w:hAnsi="宋体" w:eastAsia="宋体" w:cs="宋体"/>
                <w:sz w:val="24"/>
                <w:szCs w:val="24"/>
                <w:highlight w:val="none"/>
              </w:rPr>
            </w:pPr>
            <w:r>
              <w:rPr>
                <w:rFonts w:hint="eastAsia" w:ascii="宋体" w:hAnsi="宋体" w:eastAsia="宋体" w:cs="宋体"/>
                <w:spacing w:val="5"/>
                <w:sz w:val="24"/>
                <w:szCs w:val="24"/>
                <w:highlight w:val="none"/>
              </w:rPr>
              <w:t xml:space="preserve">单位名</w:t>
            </w:r>
            <w:r>
              <w:rPr>
                <w:rFonts w:hint="eastAsia" w:ascii="宋体" w:hAnsi="宋体" w:eastAsia="宋体" w:cs="宋体"/>
                <w:spacing w:val="4"/>
                <w:sz w:val="24"/>
                <w:szCs w:val="24"/>
                <w:highlight w:val="none"/>
              </w:rPr>
              <w:t xml:space="preserve">称</w:t>
            </w:r>
            <w:r/>
          </w:p>
        </w:tc>
        <w:tc>
          <w:tcPr>
            <w:tcW w:w="2174"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131" w:type="dxa"/>
            <w:vAlign w:val="top"/>
            <w:textDirection w:val="lrTb"/>
            <w:noWrap w:val="false"/>
          </w:tcPr>
          <w:p>
            <w:pPr>
              <w:ind w:left="125"/>
              <w:spacing w:before="160" w:line="233" w:lineRule="auto"/>
              <w:rPr>
                <w:rFonts w:hint="eastAsia" w:ascii="宋体" w:hAnsi="宋体" w:eastAsia="宋体" w:cs="宋体"/>
                <w:sz w:val="24"/>
                <w:szCs w:val="24"/>
                <w:highlight w:val="none"/>
              </w:rPr>
            </w:pPr>
            <w:r>
              <w:rPr>
                <w:rFonts w:hint="eastAsia" w:ascii="宋体" w:hAnsi="宋体" w:eastAsia="宋体" w:cs="宋体"/>
                <w:spacing w:val="10"/>
                <w:sz w:val="24"/>
                <w:szCs w:val="24"/>
                <w:highlight w:val="none"/>
              </w:rPr>
              <w:t xml:space="preserve">统</w:t>
            </w:r>
            <w:r>
              <w:rPr>
                <w:rFonts w:hint="eastAsia" w:ascii="宋体" w:hAnsi="宋体" w:eastAsia="宋体" w:cs="宋体"/>
                <w:spacing w:val="7"/>
                <w:sz w:val="24"/>
                <w:szCs w:val="24"/>
                <w:highlight w:val="none"/>
              </w:rPr>
              <w:t xml:space="preserve">一社会信用代码</w:t>
            </w:r>
            <w:r/>
          </w:p>
        </w:tc>
        <w:tc>
          <w:tcPr>
            <w:tcW w:w="2162"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31"/>
        </w:trPr>
        <w:tc>
          <w:tcPr>
            <w:tcW w:w="2652" w:type="dxa"/>
            <w:vAlign w:val="top"/>
            <w:textDirection w:val="lrTb"/>
            <w:noWrap w:val="false"/>
          </w:tcPr>
          <w:p>
            <w:pPr>
              <w:ind w:left="131"/>
              <w:spacing w:before="157" w:line="231" w:lineRule="auto"/>
              <w:rPr>
                <w:rFonts w:hint="eastAsia" w:ascii="宋体" w:hAnsi="宋体" w:eastAsia="宋体" w:cs="宋体"/>
                <w:sz w:val="24"/>
                <w:szCs w:val="24"/>
                <w:highlight w:val="none"/>
              </w:rPr>
            </w:pPr>
            <w:r>
              <w:rPr>
                <w:rFonts w:hint="eastAsia" w:ascii="宋体" w:hAnsi="宋体" w:eastAsia="宋体" w:cs="宋体"/>
                <w:spacing w:val="6"/>
                <w:sz w:val="24"/>
                <w:szCs w:val="24"/>
                <w:highlight w:val="none"/>
              </w:rPr>
              <w:t xml:space="preserve">法</w:t>
            </w:r>
            <w:r>
              <w:rPr>
                <w:rFonts w:hint="eastAsia" w:ascii="宋体" w:hAnsi="宋体" w:eastAsia="宋体" w:cs="宋体"/>
                <w:spacing w:val="5"/>
                <w:sz w:val="24"/>
                <w:szCs w:val="24"/>
                <w:highlight w:val="none"/>
              </w:rPr>
              <w:t xml:space="preserve">定代表人</w:t>
            </w:r>
            <w:r/>
          </w:p>
        </w:tc>
        <w:tc>
          <w:tcPr>
            <w:tcW w:w="2174"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131" w:type="dxa"/>
            <w:vAlign w:val="top"/>
            <w:textDirection w:val="lrTb"/>
            <w:noWrap w:val="false"/>
          </w:tcPr>
          <w:p>
            <w:pPr>
              <w:ind w:left="118"/>
              <w:spacing w:before="157" w:line="233" w:lineRule="auto"/>
              <w:rPr>
                <w:rFonts w:hint="eastAsia" w:ascii="宋体" w:hAnsi="宋体" w:eastAsia="宋体" w:cs="宋体"/>
                <w:sz w:val="24"/>
                <w:szCs w:val="24"/>
                <w:highlight w:val="none"/>
              </w:rPr>
            </w:pPr>
            <w:r>
              <w:rPr>
                <w:rFonts w:hint="eastAsia" w:ascii="宋体" w:hAnsi="宋体" w:eastAsia="宋体" w:cs="宋体"/>
                <w:spacing w:val="6"/>
                <w:sz w:val="24"/>
                <w:szCs w:val="24"/>
                <w:highlight w:val="none"/>
              </w:rPr>
              <w:t xml:space="preserve">联</w:t>
            </w:r>
            <w:r>
              <w:rPr>
                <w:rFonts w:hint="eastAsia" w:ascii="宋体" w:hAnsi="宋体" w:eastAsia="宋体" w:cs="宋体"/>
                <w:spacing w:val="5"/>
                <w:sz w:val="24"/>
                <w:szCs w:val="24"/>
                <w:highlight w:val="none"/>
              </w:rPr>
              <w:t xml:space="preserve">系人</w:t>
            </w:r>
            <w:r/>
          </w:p>
        </w:tc>
        <w:tc>
          <w:tcPr>
            <w:tcW w:w="2162"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30"/>
        </w:trPr>
        <w:tc>
          <w:tcPr>
            <w:tcW w:w="2652" w:type="dxa"/>
            <w:vAlign w:val="top"/>
            <w:textDirection w:val="lrTb"/>
            <w:noWrap w:val="false"/>
          </w:tcPr>
          <w:p>
            <w:pPr>
              <w:ind w:left="121"/>
              <w:spacing w:before="156" w:line="233" w:lineRule="auto"/>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 xml:space="preserve">联</w:t>
            </w:r>
            <w:r>
              <w:rPr>
                <w:rFonts w:hint="eastAsia" w:ascii="宋体" w:hAnsi="宋体" w:eastAsia="宋体" w:cs="宋体"/>
                <w:spacing w:val="6"/>
                <w:sz w:val="24"/>
                <w:szCs w:val="24"/>
                <w:highlight w:val="none"/>
              </w:rPr>
              <w:t xml:space="preserve">系地址</w:t>
            </w:r>
            <w:r/>
          </w:p>
        </w:tc>
        <w:tc>
          <w:tcPr>
            <w:tcW w:w="2174"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131" w:type="dxa"/>
            <w:vAlign w:val="top"/>
            <w:textDirection w:val="lrTb"/>
            <w:noWrap w:val="false"/>
          </w:tcPr>
          <w:p>
            <w:pPr>
              <w:ind w:left="118"/>
              <w:spacing w:before="156" w:line="231" w:lineRule="auto"/>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 xml:space="preserve">联</w:t>
            </w:r>
            <w:r>
              <w:rPr>
                <w:rFonts w:hint="eastAsia" w:ascii="宋体" w:hAnsi="宋体" w:eastAsia="宋体" w:cs="宋体"/>
                <w:spacing w:val="6"/>
                <w:sz w:val="24"/>
                <w:szCs w:val="24"/>
                <w:highlight w:val="none"/>
              </w:rPr>
              <w:t xml:space="preserve">系电话</w:t>
            </w:r>
            <w:r/>
          </w:p>
        </w:tc>
        <w:tc>
          <w:tcPr>
            <w:tcW w:w="2162"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886"/>
        </w:trPr>
        <w:tc>
          <w:tcPr>
            <w:tcW w:w="2652" w:type="dxa"/>
            <w:vAlign w:val="top"/>
            <w:textDirection w:val="lrTb"/>
            <w:noWrap w:val="false"/>
          </w:tcPr>
          <w:p>
            <w:pPr>
              <w:ind w:left="123"/>
              <w:spacing w:before="157" w:line="230" w:lineRule="auto"/>
              <w:rPr>
                <w:rFonts w:hint="eastAsia" w:ascii="宋体" w:hAnsi="宋体" w:eastAsia="宋体" w:cs="宋体"/>
                <w:sz w:val="24"/>
                <w:szCs w:val="24"/>
                <w:highlight w:val="none"/>
              </w:rPr>
            </w:pPr>
            <w:r>
              <w:rPr>
                <w:rFonts w:hint="eastAsia" w:ascii="宋体" w:hAnsi="宋体" w:eastAsia="宋体" w:cs="宋体"/>
                <w:spacing w:val="10"/>
                <w:sz w:val="24"/>
                <w:szCs w:val="24"/>
                <w:highlight w:val="none"/>
              </w:rPr>
              <w:t xml:space="preserve">诚</w:t>
            </w:r>
            <w:r>
              <w:rPr>
                <w:rFonts w:hint="eastAsia" w:ascii="宋体" w:hAnsi="宋体" w:eastAsia="宋体" w:cs="宋体"/>
                <w:spacing w:val="8"/>
                <w:sz w:val="24"/>
                <w:szCs w:val="24"/>
                <w:highlight w:val="none"/>
              </w:rPr>
              <w:t xml:space="preserve">信档案记录情况表</w:t>
            </w:r>
            <w:r/>
          </w:p>
        </w:tc>
        <w:tc>
          <w:tcPr>
            <w:gridSpan w:val="3"/>
            <w:tcW w:w="6467"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6957"/>
        </w:trPr>
        <w:tc>
          <w:tcPr>
            <w:tcW w:w="2652" w:type="dxa"/>
            <w:vAlign w:val="center"/>
            <w:textDirection w:val="lrTb"/>
            <w:noWrap w:val="false"/>
          </w:tcPr>
          <w:p>
            <w:pPr>
              <w:jc w:val="center"/>
              <w:spacing w:before="75" w:line="230" w:lineRule="auto"/>
              <w:rPr>
                <w:rFonts w:hint="eastAsia" w:ascii="宋体" w:hAnsi="宋体" w:eastAsia="宋体" w:cs="宋体"/>
                <w:sz w:val="28"/>
                <w:szCs w:val="28"/>
                <w:highlight w:val="none"/>
              </w:rPr>
            </w:pPr>
            <w:r>
              <w:rPr>
                <w:rFonts w:hint="eastAsia" w:ascii="宋体" w:hAnsi="宋体" w:eastAsia="宋体" w:cs="宋体"/>
                <w:spacing w:val="6"/>
                <w:sz w:val="24"/>
                <w:szCs w:val="28"/>
                <w:highlight w:val="none"/>
              </w:rPr>
              <w:t xml:space="preserve">信用承诺</w:t>
            </w:r>
            <w:r/>
          </w:p>
        </w:tc>
        <w:tc>
          <w:tcPr>
            <w:gridSpan w:val="3"/>
            <w:tcW w:w="6467" w:type="dxa"/>
            <w:vAlign w:val="top"/>
            <w:textDirection w:val="lrTb"/>
            <w:noWrap w:val="false"/>
          </w:tcPr>
          <w:p>
            <w:pPr>
              <w:ind w:left="489"/>
              <w:spacing w:before="157"/>
              <w:rPr>
                <w:rFonts w:hint="eastAsia" w:ascii="宋体" w:hAnsi="宋体" w:eastAsia="宋体" w:cs="宋体"/>
                <w:sz w:val="28"/>
                <w:szCs w:val="28"/>
                <w:highlight w:val="none"/>
              </w:rPr>
            </w:pPr>
            <w:r>
              <w:rPr>
                <w:rFonts w:hint="eastAsia" w:ascii="宋体" w:hAnsi="宋体" w:eastAsia="宋体" w:cs="宋体"/>
                <w:spacing w:val="16"/>
                <w:sz w:val="24"/>
                <w:szCs w:val="24"/>
                <w:highlight w:val="none"/>
              </w:rPr>
              <w:t xml:space="preserve">我</w:t>
            </w:r>
            <w:r>
              <w:rPr>
                <w:rFonts w:hint="eastAsia" w:ascii="宋体" w:hAnsi="宋体" w:eastAsia="宋体" w:cs="宋体"/>
                <w:spacing w:val="11"/>
                <w:sz w:val="24"/>
                <w:szCs w:val="24"/>
                <w:highlight w:val="none"/>
              </w:rPr>
              <w:t xml:space="preserve">公</w:t>
            </w:r>
            <w:r>
              <w:rPr>
                <w:rFonts w:hint="eastAsia" w:ascii="宋体" w:hAnsi="宋体" w:eastAsia="宋体" w:cs="宋体"/>
                <w:spacing w:val="8"/>
                <w:sz w:val="24"/>
                <w:szCs w:val="24"/>
                <w:highlight w:val="none"/>
              </w:rPr>
              <w:t xml:space="preserve">司自愿参加贵中心(公司)组织的本次采购活动，严格</w:t>
            </w:r>
            <w:r>
              <w:rPr>
                <w:rFonts w:hint="eastAsia" w:ascii="宋体" w:hAnsi="宋体" w:eastAsia="宋体" w:cs="宋体"/>
                <w:spacing w:val="3"/>
                <w:sz w:val="24"/>
                <w:szCs w:val="24"/>
                <w:highlight w:val="none"/>
              </w:rPr>
              <w:t xml:space="preserve">遵守《中华人民共和国政府采购法》及相关法律法规、坚守公</w:t>
            </w:r>
            <w:r>
              <w:rPr>
                <w:rFonts w:hint="eastAsia" w:ascii="宋体" w:hAnsi="宋体" w:eastAsia="宋体" w:cs="宋体"/>
                <w:spacing w:val="2"/>
                <w:sz w:val="24"/>
                <w:szCs w:val="24"/>
                <w:highlight w:val="none"/>
              </w:rPr>
              <w:t xml:space="preserve">开</w:t>
            </w:r>
            <w:r>
              <w:rPr>
                <w:rFonts w:hint="eastAsia" w:ascii="宋体" w:hAnsi="宋体" w:eastAsia="宋体" w:cs="宋体"/>
                <w:sz w:val="24"/>
                <w:szCs w:val="24"/>
                <w:highlight w:val="none"/>
              </w:rPr>
              <w:t xml:space="preserve">、</w:t>
            </w:r>
            <w:r>
              <w:rPr>
                <w:rFonts w:hint="eastAsia" w:ascii="宋体" w:hAnsi="宋体" w:eastAsia="宋体" w:cs="宋体"/>
                <w:spacing w:val="16"/>
                <w:sz w:val="24"/>
                <w:szCs w:val="24"/>
                <w:highlight w:val="none"/>
              </w:rPr>
              <w:t xml:space="preserve">公</w:t>
            </w:r>
            <w:r>
              <w:rPr>
                <w:rFonts w:hint="eastAsia" w:ascii="宋体" w:hAnsi="宋体" w:eastAsia="宋体" w:cs="宋体"/>
                <w:spacing w:val="11"/>
                <w:sz w:val="24"/>
                <w:szCs w:val="24"/>
                <w:highlight w:val="none"/>
              </w:rPr>
              <w:t xml:space="preserve">平</w:t>
            </w:r>
            <w:r>
              <w:rPr>
                <w:rFonts w:hint="eastAsia" w:ascii="宋体" w:hAnsi="宋体" w:eastAsia="宋体" w:cs="宋体"/>
                <w:spacing w:val="8"/>
                <w:sz w:val="24"/>
                <w:szCs w:val="24"/>
                <w:highlight w:val="none"/>
              </w:rPr>
              <w:t xml:space="preserve">、公正和诚实信用的原则，依法诚信经营，无条件遵守本次</w:t>
            </w:r>
            <w:r>
              <w:rPr>
                <w:rFonts w:hint="eastAsia" w:ascii="宋体" w:hAnsi="宋体" w:eastAsia="宋体" w:cs="宋体"/>
                <w:spacing w:val="16"/>
                <w:sz w:val="24"/>
                <w:szCs w:val="24"/>
                <w:highlight w:val="none"/>
              </w:rPr>
              <w:t xml:space="preserve">政</w:t>
            </w:r>
            <w:r>
              <w:rPr>
                <w:rFonts w:hint="eastAsia" w:ascii="宋体" w:hAnsi="宋体" w:eastAsia="宋体" w:cs="宋体"/>
                <w:spacing w:val="11"/>
                <w:sz w:val="24"/>
                <w:szCs w:val="24"/>
                <w:highlight w:val="none"/>
              </w:rPr>
              <w:t xml:space="preserve">府</w:t>
            </w:r>
            <w:r>
              <w:rPr>
                <w:rFonts w:hint="eastAsia" w:ascii="宋体" w:hAnsi="宋体" w:eastAsia="宋体" w:cs="宋体"/>
                <w:spacing w:val="8"/>
                <w:sz w:val="24"/>
                <w:szCs w:val="24"/>
                <w:highlight w:val="none"/>
              </w:rPr>
              <w:t xml:space="preserve">采购活动的各项规定。我们郑重承诺，本公司符合《政府采</w:t>
            </w:r>
            <w:r>
              <w:rPr>
                <w:rFonts w:hint="eastAsia" w:ascii="宋体" w:hAnsi="宋体" w:eastAsia="宋体" w:cs="宋体"/>
                <w:spacing w:val="16"/>
                <w:sz w:val="24"/>
                <w:szCs w:val="24"/>
                <w:highlight w:val="none"/>
              </w:rPr>
              <w:t xml:space="preserve">购</w:t>
            </w:r>
            <w:r>
              <w:rPr>
                <w:rFonts w:hint="eastAsia" w:ascii="宋体" w:hAnsi="宋体" w:eastAsia="宋体" w:cs="宋体"/>
                <w:spacing w:val="11"/>
                <w:sz w:val="24"/>
                <w:szCs w:val="24"/>
                <w:highlight w:val="none"/>
              </w:rPr>
              <w:t xml:space="preserve">法</w:t>
            </w:r>
            <w:r>
              <w:rPr>
                <w:rFonts w:hint="eastAsia" w:ascii="宋体" w:hAnsi="宋体" w:eastAsia="宋体" w:cs="宋体"/>
                <w:spacing w:val="8"/>
                <w:sz w:val="24"/>
                <w:szCs w:val="24"/>
                <w:highlight w:val="none"/>
              </w:rPr>
              <w:t xml:space="preserve">》第二十二条规定的条件，包括：具有独立承担民事责任的</w:t>
            </w:r>
            <w:r>
              <w:rPr>
                <w:rFonts w:hint="eastAsia" w:ascii="宋体" w:hAnsi="宋体" w:eastAsia="宋体" w:cs="宋体"/>
                <w:spacing w:val="16"/>
                <w:sz w:val="24"/>
                <w:szCs w:val="24"/>
                <w:highlight w:val="none"/>
              </w:rPr>
              <w:t xml:space="preserve">能</w:t>
            </w:r>
            <w:r>
              <w:rPr>
                <w:rFonts w:hint="eastAsia" w:ascii="宋体" w:hAnsi="宋体" w:eastAsia="宋体" w:cs="宋体"/>
                <w:spacing w:val="11"/>
                <w:sz w:val="24"/>
                <w:szCs w:val="24"/>
                <w:highlight w:val="none"/>
              </w:rPr>
              <w:t xml:space="preserve">力</w:t>
            </w:r>
            <w:r>
              <w:rPr>
                <w:rFonts w:hint="eastAsia" w:ascii="宋体" w:hAnsi="宋体" w:eastAsia="宋体" w:cs="宋体"/>
                <w:spacing w:val="8"/>
                <w:sz w:val="24"/>
                <w:szCs w:val="24"/>
                <w:highlight w:val="none"/>
              </w:rPr>
              <w:t xml:space="preserve">；具有良好的商业信誉和健全的财务会计制度；具有履行合同</w:t>
            </w:r>
            <w:r>
              <w:rPr>
                <w:rFonts w:hint="eastAsia" w:ascii="宋体" w:hAnsi="宋体" w:eastAsia="宋体" w:cs="宋体"/>
                <w:spacing w:val="16"/>
                <w:sz w:val="24"/>
                <w:szCs w:val="24"/>
                <w:highlight w:val="none"/>
              </w:rPr>
              <w:t xml:space="preserve">所</w:t>
            </w:r>
            <w:r>
              <w:rPr>
                <w:rFonts w:hint="eastAsia" w:ascii="宋体" w:hAnsi="宋体" w:eastAsia="宋体" w:cs="宋体"/>
                <w:spacing w:val="11"/>
                <w:sz w:val="24"/>
                <w:szCs w:val="24"/>
                <w:highlight w:val="none"/>
              </w:rPr>
              <w:t xml:space="preserve">必</w:t>
            </w:r>
            <w:r>
              <w:rPr>
                <w:rFonts w:hint="eastAsia" w:ascii="宋体" w:hAnsi="宋体" w:eastAsia="宋体" w:cs="宋体"/>
                <w:spacing w:val="8"/>
                <w:sz w:val="24"/>
                <w:szCs w:val="24"/>
                <w:highlight w:val="none"/>
              </w:rPr>
              <w:t xml:space="preserve">需的设备和专业技术能力；有依法缴纳税收和社会保障资金</w:t>
            </w:r>
            <w:r>
              <w:rPr>
                <w:rFonts w:hint="eastAsia" w:ascii="宋体" w:hAnsi="宋体" w:eastAsia="宋体" w:cs="宋体"/>
                <w:spacing w:val="16"/>
                <w:sz w:val="24"/>
                <w:szCs w:val="24"/>
                <w:highlight w:val="none"/>
              </w:rPr>
              <w:t xml:space="preserve">的</w:t>
            </w:r>
            <w:r>
              <w:rPr>
                <w:rFonts w:hint="eastAsia" w:ascii="宋体" w:hAnsi="宋体" w:eastAsia="宋体" w:cs="宋体"/>
                <w:spacing w:val="11"/>
                <w:sz w:val="24"/>
                <w:szCs w:val="24"/>
                <w:highlight w:val="none"/>
              </w:rPr>
              <w:t xml:space="preserve">良</w:t>
            </w:r>
            <w:r>
              <w:rPr>
                <w:rFonts w:hint="eastAsia" w:ascii="宋体" w:hAnsi="宋体" w:eastAsia="宋体" w:cs="宋体"/>
                <w:spacing w:val="8"/>
                <w:sz w:val="24"/>
                <w:szCs w:val="24"/>
                <w:highlight w:val="none"/>
              </w:rPr>
              <w:t xml:space="preserve">好记录；参加政府采购活动前三年内，在经营活动中没有重</w:t>
            </w:r>
            <w:r>
              <w:rPr>
                <w:rFonts w:hint="eastAsia" w:ascii="宋体" w:hAnsi="宋体" w:eastAsia="宋体" w:cs="宋体"/>
                <w:spacing w:val="18"/>
                <w:sz w:val="24"/>
                <w:szCs w:val="24"/>
                <w:highlight w:val="none"/>
              </w:rPr>
              <w:t xml:space="preserve">大</w:t>
            </w:r>
            <w:r>
              <w:rPr>
                <w:rFonts w:hint="eastAsia" w:ascii="宋体" w:hAnsi="宋体" w:eastAsia="宋体" w:cs="宋体"/>
                <w:spacing w:val="10"/>
                <w:sz w:val="24"/>
                <w:szCs w:val="24"/>
                <w:highlight w:val="none"/>
              </w:rPr>
              <w:t xml:space="preserve">违法记录；符合法律、行政法规和采购文件规定的其他条件。</w:t>
            </w:r>
            <w:r>
              <w:rPr>
                <w:rFonts w:hint="eastAsia" w:ascii="宋体" w:hAnsi="宋体" w:eastAsia="宋体" w:cs="宋体"/>
                <w:spacing w:val="16"/>
                <w:sz w:val="24"/>
                <w:szCs w:val="24"/>
                <w:highlight w:val="none"/>
              </w:rPr>
              <w:t xml:space="preserve">如</w:t>
            </w:r>
            <w:r>
              <w:rPr>
                <w:rFonts w:hint="eastAsia" w:ascii="宋体" w:hAnsi="宋体" w:eastAsia="宋体" w:cs="宋体"/>
                <w:spacing w:val="11"/>
                <w:sz w:val="24"/>
                <w:szCs w:val="24"/>
                <w:highlight w:val="none"/>
              </w:rPr>
              <w:t xml:space="preserve">有</w:t>
            </w:r>
            <w:r>
              <w:rPr>
                <w:rFonts w:hint="eastAsia" w:ascii="宋体" w:hAnsi="宋体" w:eastAsia="宋体" w:cs="宋体"/>
                <w:spacing w:val="8"/>
                <w:sz w:val="24"/>
                <w:szCs w:val="24"/>
                <w:highlight w:val="none"/>
              </w:rPr>
              <w:t xml:space="preserve">弄虚作假或其他违法违规行为，愿承担一切法律责任，接受</w:t>
            </w:r>
            <w:r>
              <w:rPr>
                <w:rFonts w:hint="eastAsia" w:ascii="宋体" w:hAnsi="宋体" w:eastAsia="宋体" w:cs="宋体"/>
                <w:spacing w:val="9"/>
                <w:sz w:val="24"/>
                <w:szCs w:val="24"/>
                <w:highlight w:val="none"/>
              </w:rPr>
              <w:t xml:space="preserve">各级政府采购监管部门和有权机关的审查和处罚</w:t>
            </w:r>
            <w:r>
              <w:rPr>
                <w:rFonts w:hint="eastAsia" w:ascii="宋体" w:hAnsi="宋体" w:eastAsia="宋体" w:cs="宋体"/>
                <w:spacing w:val="5"/>
                <w:sz w:val="28"/>
                <w:szCs w:val="28"/>
                <w:highlight w:val="none"/>
              </w:rPr>
              <w:t xml:space="preserve">。</w:t>
            </w:r>
            <w:r/>
          </w:p>
          <w:p>
            <w:pPr>
              <w:ind w:firstLine="3584"/>
              <w:spacing w:before="74" w:line="229" w:lineRule="auto"/>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 xml:space="preserve">供</w:t>
            </w:r>
            <w:r>
              <w:rPr>
                <w:rFonts w:hint="eastAsia" w:ascii="宋体" w:hAnsi="宋体" w:eastAsia="宋体" w:cs="宋体"/>
                <w:spacing w:val="6"/>
                <w:sz w:val="24"/>
                <w:szCs w:val="24"/>
                <w:highlight w:val="none"/>
              </w:rPr>
              <w:t xml:space="preserve">应商名称(盖章)：</w:t>
            </w:r>
            <w:r/>
          </w:p>
          <w:p>
            <w:pPr>
              <w:ind w:left="3608"/>
              <w:spacing w:before="147" w:line="231" w:lineRule="auto"/>
              <w:rPr>
                <w:rFonts w:hint="eastAsia" w:ascii="宋体" w:hAnsi="宋体" w:eastAsia="宋体" w:cs="宋体"/>
                <w:sz w:val="24"/>
                <w:szCs w:val="24"/>
                <w:highlight w:val="none"/>
              </w:rPr>
            </w:pPr>
            <w:r>
              <w:rPr>
                <w:rFonts w:hint="eastAsia" w:ascii="宋体" w:hAnsi="宋体" w:eastAsia="宋体" w:cs="宋体"/>
                <w:spacing w:val="10"/>
                <w:sz w:val="24"/>
                <w:szCs w:val="24"/>
                <w:highlight w:val="none"/>
              </w:rPr>
              <w:t xml:space="preserve">法</w:t>
            </w:r>
            <w:r>
              <w:rPr>
                <w:rFonts w:hint="eastAsia" w:ascii="宋体" w:hAnsi="宋体" w:eastAsia="宋体" w:cs="宋体"/>
                <w:spacing w:val="7"/>
                <w:sz w:val="24"/>
                <w:szCs w:val="24"/>
                <w:highlight w:val="none"/>
              </w:rPr>
              <w:t xml:space="preserve">定</w:t>
            </w:r>
            <w:r>
              <w:rPr>
                <w:rFonts w:hint="eastAsia" w:ascii="宋体" w:hAnsi="宋体" w:eastAsia="宋体" w:cs="宋体"/>
                <w:spacing w:val="5"/>
                <w:sz w:val="24"/>
                <w:szCs w:val="24"/>
                <w:highlight w:val="none"/>
              </w:rPr>
              <w:t xml:space="preserve">代表人(签字)：</w:t>
            </w:r>
            <w:r/>
          </w:p>
          <w:p>
            <w:pPr>
              <w:ind w:left="3608"/>
              <w:spacing w:before="141" w:line="231" w:lineRule="auto"/>
              <w:rPr>
                <w:rFonts w:hint="eastAsia" w:ascii="宋体" w:hAnsi="宋体" w:eastAsia="宋体" w:cs="宋体"/>
                <w:sz w:val="28"/>
                <w:szCs w:val="28"/>
                <w:highlight w:val="none"/>
              </w:rPr>
            </w:pPr>
            <w:r>
              <w:rPr>
                <w:rFonts w:hint="eastAsia" w:ascii="宋体" w:hAnsi="宋体" w:eastAsia="宋体" w:cs="宋体"/>
                <w:spacing w:val="10"/>
                <w:sz w:val="24"/>
                <w:szCs w:val="24"/>
                <w:highlight w:val="none"/>
              </w:rPr>
              <w:t xml:space="preserve">二</w:t>
            </w:r>
            <w:r>
              <w:rPr>
                <w:rFonts w:hint="eastAsia" w:ascii="宋体" w:hAnsi="宋体" w:eastAsia="宋体" w:cs="宋体"/>
                <w:spacing w:val="9"/>
                <w:sz w:val="24"/>
                <w:szCs w:val="24"/>
                <w:highlight w:val="none"/>
              </w:rPr>
              <w:t xml:space="preserve">〇</w:t>
            </w:r>
            <w:r>
              <w:rPr>
                <w:rFonts w:hint="eastAsia" w:ascii="宋体" w:hAnsi="宋体" w:eastAsia="宋体" w:cs="宋体"/>
                <w:spacing w:val="9"/>
                <w:sz w:val="24"/>
                <w:szCs w:val="24"/>
                <w:highlight w:val="none"/>
                <w:u w:val="single"/>
              </w:rPr>
              <w:t xml:space="preserve">   </w:t>
            </w:r>
            <w:r>
              <w:rPr>
                <w:rFonts w:hint="eastAsia" w:ascii="宋体" w:hAnsi="宋体" w:eastAsia="宋体" w:cs="宋体"/>
                <w:spacing w:val="9"/>
                <w:sz w:val="24"/>
                <w:szCs w:val="24"/>
                <w:highlight w:val="none"/>
              </w:rPr>
              <w:t xml:space="preserve">年   月   日</w:t>
            </w:r>
            <w:r/>
          </w:p>
        </w:tc>
      </w:tr>
    </w:tbl>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★上表为样式，自填无效，须替换成在线打印的带有【二维码】的信用承诺书，按要求盖章签字。</w:t>
      </w:r>
      <w:r/>
    </w:p>
    <w:p>
      <w:pPr>
        <w:spacing w:line="360" w:lineRule="auto"/>
        <w:rPr>
          <w:rFonts w:hint="eastAsia" w:ascii="宋体" w:hAnsi="宋体" w:eastAsia="宋体" w:cs="宋体"/>
          <w:b/>
          <w:highlight w:val="none"/>
        </w:rPr>
      </w:pPr>
      <w:r>
        <w:rPr>
          <w:rFonts w:hint="eastAsia" w:ascii="宋体" w:hAnsi="宋体" w:eastAsia="宋体" w:cs="宋体"/>
          <w:b/>
          <w:highlight w:val="none"/>
        </w:rPr>
      </w:r>
      <w:r/>
    </w:p>
    <w:p>
      <w:pPr>
        <w:spacing w:line="360" w:lineRule="auto"/>
        <w:rPr>
          <w:rFonts w:hint="eastAsia" w:ascii="宋体" w:hAnsi="宋体" w:eastAsia="宋体" w:cs="宋体"/>
          <w:b/>
          <w:highlight w:val="none"/>
        </w:rPr>
      </w:pPr>
      <w:r>
        <w:rPr>
          <w:rFonts w:hint="eastAsia" w:ascii="宋体" w:hAnsi="宋体" w:eastAsia="宋体" w:cs="宋体"/>
          <w:b/>
          <w:highlight w:val="none"/>
        </w:rPr>
      </w:r>
      <w:r/>
    </w:p>
    <w:p>
      <w:pPr>
        <w:spacing w:line="360" w:lineRule="auto"/>
        <w:rPr>
          <w:rFonts w:hint="eastAsia" w:ascii="宋体" w:hAnsi="宋体" w:eastAsia="宋体" w:cs="宋体"/>
          <w:b/>
          <w:highlight w:val="none"/>
        </w:rPr>
      </w:pPr>
      <w:r>
        <w:rPr>
          <w:rFonts w:hint="eastAsia" w:ascii="宋体" w:hAnsi="宋体" w:eastAsia="宋体" w:cs="宋体"/>
          <w:b/>
          <w:highlight w:val="none"/>
        </w:rPr>
      </w:r>
      <w:r/>
    </w:p>
    <w:p>
      <w:pPr>
        <w:spacing w:line="360" w:lineRule="auto"/>
        <w:rPr>
          <w:rFonts w:hint="eastAsia" w:ascii="宋体" w:hAnsi="宋体" w:eastAsia="宋体" w:cs="宋体"/>
          <w:b/>
          <w:highlight w:val="none"/>
        </w:rPr>
      </w:pPr>
      <w:r>
        <w:rPr>
          <w:rFonts w:hint="eastAsia" w:ascii="宋体" w:hAnsi="宋体" w:eastAsia="宋体" w:cs="宋体"/>
          <w:b/>
          <w:highlight w:val="none"/>
        </w:rPr>
      </w:r>
      <w:r/>
    </w:p>
    <w:p>
      <w:pPr>
        <w:spacing w:line="360" w:lineRule="auto"/>
        <w:rPr>
          <w:rFonts w:hint="eastAsia" w:ascii="宋体" w:hAnsi="宋体" w:eastAsia="宋体" w:cs="宋体"/>
          <w:b/>
          <w:highlight w:val="none"/>
        </w:rPr>
      </w:pPr>
      <w:r>
        <w:rPr>
          <w:rFonts w:hint="eastAsia" w:ascii="宋体" w:hAnsi="宋体" w:eastAsia="宋体" w:cs="宋体"/>
          <w:b/>
          <w:highlight w:val="none"/>
        </w:rPr>
      </w:r>
      <w:r/>
    </w:p>
    <w:p>
      <w:pPr>
        <w:spacing w:line="360" w:lineRule="auto"/>
        <w:rPr>
          <w:rFonts w:hint="eastAsia" w:ascii="宋体" w:hAnsi="宋体" w:eastAsia="宋体" w:cs="宋体"/>
          <w:b/>
          <w:highlight w:val="none"/>
        </w:rPr>
      </w:pPr>
      <w:r>
        <w:rPr>
          <w:rFonts w:hint="eastAsia" w:ascii="宋体" w:hAnsi="宋体" w:eastAsia="宋体" w:cs="宋体"/>
          <w:b/>
          <w:highlight w:val="none"/>
        </w:rPr>
      </w:r>
      <w:r/>
    </w:p>
    <w:p>
      <w:pPr>
        <w:rPr>
          <w:rFonts w:hint="eastAsia" w:ascii="宋体" w:hAnsi="宋体" w:eastAsia="宋体" w:cs="宋体"/>
          <w:b/>
          <w:spacing w:val="-10"/>
          <w:sz w:val="22"/>
          <w:highlight w:val="none"/>
        </w:rPr>
      </w:pPr>
      <w:r>
        <w:rPr>
          <w:rFonts w:hint="eastAsia" w:ascii="宋体" w:hAnsi="宋体" w:eastAsia="宋体" w:cs="宋体"/>
          <w:b/>
          <w:highlight w:val="none"/>
        </w:rPr>
        <w:br w:type="page" w:clear="all"/>
      </w:r>
      <w:r>
        <w:rPr>
          <w:rFonts w:hint="eastAsia" w:ascii="宋体" w:hAnsi="宋体" w:eastAsia="宋体" w:cs="宋体"/>
          <w:b/>
          <w:highlight w:val="none"/>
        </w:rPr>
        <w:t xml:space="preserve">附件二十一、</w:t>
      </w:r>
      <w:r>
        <w:rPr>
          <w:rFonts w:hint="eastAsia" w:ascii="宋体" w:hAnsi="宋体" w:eastAsia="宋体" w:cs="宋体"/>
          <w:b/>
          <w:spacing w:val="-10"/>
          <w:sz w:val="24"/>
          <w:highlight w:val="none"/>
        </w:rPr>
        <w:t xml:space="preserve"> </w:t>
      </w:r>
      <w:r>
        <w:rPr>
          <w:rFonts w:hint="eastAsia" w:ascii="宋体" w:hAnsi="宋体" w:eastAsia="宋体" w:cs="宋体"/>
          <w:b/>
          <w:spacing w:val="-10"/>
          <w:sz w:val="22"/>
          <w:highlight w:val="none"/>
        </w:rPr>
        <w:t xml:space="preserve">承诺函</w:t>
      </w:r>
      <w:r/>
    </w:p>
    <w:p>
      <w:pPr>
        <w:ind w:left="2772" w:firstLine="594"/>
        <w:spacing w:before="50"/>
        <w:rPr>
          <w:rFonts w:hint="eastAsia" w:ascii="宋体" w:hAnsi="宋体" w:eastAsia="宋体" w:cs="宋体"/>
          <w:spacing w:val="-1"/>
          <w:sz w:val="20"/>
          <w:szCs w:val="20"/>
          <w:highlight w:val="none"/>
        </w:rPr>
      </w:pPr>
      <w:r>
        <w:rPr>
          <w:rFonts w:hint="eastAsia" w:ascii="宋体" w:hAnsi="宋体" w:eastAsia="宋体" w:cs="宋体"/>
          <w:spacing w:val="-1"/>
          <w:sz w:val="20"/>
          <w:szCs w:val="20"/>
          <w:highlight w:val="none"/>
        </w:rPr>
      </w:r>
      <w:r/>
    </w:p>
    <w:p>
      <w:pPr>
        <w:jc w:val="center"/>
        <w:rPr>
          <w:rFonts w:hint="eastAsia" w:ascii="宋体" w:hAnsi="宋体" w:eastAsia="宋体" w:cs="宋体"/>
          <w:b/>
          <w:bCs/>
          <w:sz w:val="24"/>
          <w:highlight w:val="none"/>
        </w:rPr>
      </w:pPr>
      <w:r>
        <w:rPr>
          <w:rFonts w:hint="eastAsia" w:ascii="宋体" w:hAnsi="宋体" w:eastAsia="宋体" w:cs="宋体"/>
          <w:b/>
          <w:bCs/>
          <w:sz w:val="24"/>
          <w:highlight w:val="none"/>
          <w:lang w:val="zh-CN"/>
        </w:rPr>
        <w:t xml:space="preserve">供应商资格承诺函</w:t>
      </w:r>
      <w:r/>
    </w:p>
    <w:p>
      <w:pPr>
        <w:ind w:firstLine="420"/>
        <w:rPr>
          <w:rFonts w:hint="eastAsia" w:ascii="宋体" w:hAnsi="宋体" w:eastAsia="宋体" w:cs="宋体"/>
          <w:szCs w:val="21"/>
          <w:highlight w:val="none"/>
        </w:rPr>
      </w:pPr>
      <w:r>
        <w:rPr>
          <w:rFonts w:hint="eastAsia" w:ascii="宋体" w:hAnsi="宋体" w:eastAsia="宋体" w:cs="宋体"/>
          <w:color w:val="000000"/>
          <w:szCs w:val="21"/>
          <w:highlight w:val="none"/>
          <w:u w:val="single"/>
          <w:lang w:bidi="ar"/>
        </w:rPr>
        <w:t xml:space="preserve">采购人     </w:t>
      </w:r>
      <w:r>
        <w:rPr>
          <w:rFonts w:hint="eastAsia" w:ascii="宋体" w:hAnsi="宋体" w:eastAsia="宋体" w:cs="宋体"/>
          <w:szCs w:val="21"/>
          <w:highlight w:val="none"/>
        </w:rPr>
        <w:t xml:space="preserve">：</w:t>
      </w:r>
      <w:r/>
    </w:p>
    <w:p>
      <w:pPr>
        <w:ind w:firstLine="660"/>
        <w:rPr>
          <w:rFonts w:hint="eastAsia" w:ascii="宋体" w:hAnsi="宋体" w:eastAsia="宋体" w:cs="宋体"/>
          <w:sz w:val="22"/>
          <w:highlight w:val="none"/>
        </w:rPr>
      </w:pPr>
      <w:r>
        <w:rPr>
          <w:rFonts w:hint="eastAsia" w:ascii="宋体" w:hAnsi="宋体" w:eastAsia="宋体" w:cs="宋体"/>
          <w:sz w:val="22"/>
          <w:highlight w:val="none"/>
        </w:rPr>
        <w:t xml:space="preserve">我公司</w:t>
      </w:r>
      <w:r>
        <w:rPr>
          <w:rFonts w:hint="eastAsia" w:ascii="宋体" w:hAnsi="宋体" w:eastAsia="宋体" w:cs="宋体"/>
          <w:sz w:val="22"/>
          <w:highlight w:val="none"/>
          <w:u w:val="single"/>
        </w:rPr>
        <w:t xml:space="preserve">                 </w:t>
      </w:r>
      <w:r>
        <w:rPr>
          <w:rFonts w:hint="eastAsia" w:ascii="宋体" w:hAnsi="宋体" w:eastAsia="宋体" w:cs="宋体"/>
          <w:sz w:val="22"/>
          <w:highlight w:val="none"/>
        </w:rPr>
        <w:t xml:space="preserve">(供应商名称）郑重承诺:</w:t>
      </w:r>
      <w:r/>
    </w:p>
    <w:p>
      <w:pPr>
        <w:ind w:firstLine="440"/>
        <w:rPr>
          <w:rFonts w:hint="eastAsia" w:ascii="宋体" w:hAnsi="宋体" w:eastAsia="宋体" w:cs="宋体"/>
          <w:sz w:val="22"/>
          <w:highlight w:val="none"/>
        </w:rPr>
      </w:pPr>
      <w:r>
        <w:rPr>
          <w:rFonts w:hint="eastAsia" w:ascii="宋体" w:hAnsi="宋体" w:eastAsia="宋体" w:cs="宋体"/>
          <w:sz w:val="22"/>
          <w:highlight w:val="none"/>
        </w:rPr>
        <w:t xml:space="preserve">我公司符合下列要求:</w:t>
      </w:r>
      <w:r/>
    </w:p>
    <w:p>
      <w:pPr>
        <w:ind w:firstLine="440"/>
        <w:rPr>
          <w:rFonts w:hint="eastAsia" w:ascii="宋体" w:hAnsi="宋体" w:eastAsia="宋体" w:cs="宋体"/>
          <w:sz w:val="22"/>
          <w:highlight w:val="none"/>
        </w:rPr>
      </w:pPr>
      <w:r>
        <w:rPr>
          <w:rFonts w:hint="eastAsia" w:ascii="宋体" w:hAnsi="宋体" w:eastAsia="宋体" w:cs="宋体"/>
          <w:sz w:val="22"/>
          <w:highlight w:val="none"/>
        </w:rPr>
        <w:t xml:space="preserve">（1）具有良好的商业信誉和健全的财务会计制度</w:t>
      </w:r>
      <w:r>
        <w:rPr>
          <w:rFonts w:hint="eastAsia" w:ascii="宋体" w:hAnsi="宋体" w:eastAsia="宋体" w:cs="宋体"/>
          <w:sz w:val="22"/>
          <w:highlight w:val="none"/>
          <w:lang w:eastAsia="zh-CN"/>
        </w:rPr>
        <w:t xml:space="preserve">；</w:t>
      </w:r>
      <w:r/>
    </w:p>
    <w:p>
      <w:pPr>
        <w:ind w:firstLine="440"/>
        <w:rPr>
          <w:rFonts w:hint="eastAsia" w:ascii="宋体" w:hAnsi="宋体" w:eastAsia="宋体" w:cs="宋体"/>
          <w:sz w:val="22"/>
          <w:highlight w:val="none"/>
        </w:rPr>
      </w:pPr>
      <w:r>
        <w:rPr>
          <w:rFonts w:hint="eastAsia" w:ascii="宋体" w:hAnsi="宋体" w:eastAsia="宋体" w:cs="宋体"/>
          <w:sz w:val="22"/>
          <w:highlight w:val="none"/>
        </w:rPr>
        <w:t xml:space="preserve">（2）有依法缴纳税收和社会保障资金的良好记录。</w:t>
      </w:r>
      <w:r/>
    </w:p>
    <w:p>
      <w:pPr>
        <w:ind w:firstLine="440"/>
        <w:rPr>
          <w:rFonts w:hint="eastAsia" w:ascii="宋体" w:hAnsi="宋体" w:eastAsia="宋体" w:cs="宋体"/>
          <w:sz w:val="22"/>
          <w:highlight w:val="none"/>
        </w:rPr>
      </w:pPr>
      <w:r>
        <w:rPr>
          <w:rFonts w:hint="eastAsia" w:ascii="宋体" w:hAnsi="宋体" w:eastAsia="宋体" w:cs="宋体"/>
          <w:sz w:val="22"/>
          <w:highlight w:val="none"/>
        </w:rPr>
        <w:t xml:space="preserve">如果我公司中标（成交)，将在结果公告发布后7个工作日内向采购人提供下列材料核验:</w:t>
      </w:r>
      <w:r/>
    </w:p>
    <w:p>
      <w:pPr>
        <w:ind w:firstLine="440"/>
        <w:rPr>
          <w:rFonts w:hint="eastAsia" w:ascii="宋体" w:hAnsi="宋体" w:eastAsia="宋体" w:cs="宋体"/>
          <w:sz w:val="22"/>
          <w:highlight w:val="none"/>
        </w:rPr>
      </w:pPr>
      <w:r>
        <w:rPr>
          <w:rFonts w:hint="eastAsia" w:ascii="宋体" w:hAnsi="宋体" w:eastAsia="宋体" w:cs="宋体"/>
          <w:sz w:val="22"/>
          <w:highlight w:val="none"/>
        </w:rPr>
        <w:t xml:space="preserve">（1）参加本次政府采购活动前一年</w:t>
      </w:r>
      <w:r>
        <w:rPr>
          <w:rFonts w:hint="eastAsia" w:ascii="宋体" w:hAnsi="宋体" w:eastAsia="宋体" w:cs="宋体"/>
          <w:sz w:val="22"/>
          <w:highlight w:val="none"/>
          <w:lang w:eastAsia="zh-CN"/>
        </w:rPr>
        <w:t xml:space="preserve">（</w:t>
      </w:r>
      <w:r>
        <w:rPr>
          <w:rFonts w:hint="eastAsia" w:ascii="宋体" w:hAnsi="宋体" w:eastAsia="宋体" w:cs="宋体"/>
          <w:sz w:val="22"/>
          <w:highlight w:val="none"/>
          <w:lang w:val="en-US" w:eastAsia="zh-CN"/>
        </w:rPr>
        <w:t xml:space="preserve">2024年度</w:t>
      </w:r>
      <w:r>
        <w:rPr>
          <w:rFonts w:hint="eastAsia" w:ascii="宋体" w:hAnsi="宋体" w:eastAsia="宋体" w:cs="宋体"/>
          <w:sz w:val="22"/>
          <w:highlight w:val="none"/>
          <w:lang w:eastAsia="zh-CN"/>
        </w:rPr>
        <w:t xml:space="preserve">）</w:t>
      </w:r>
      <w:r>
        <w:rPr>
          <w:rFonts w:hint="eastAsia" w:ascii="宋体" w:hAnsi="宋体" w:eastAsia="宋体" w:cs="宋体"/>
          <w:sz w:val="22"/>
          <w:highlight w:val="none"/>
        </w:rPr>
        <w:t xml:space="preserve">的会计报表或经审计的财务报告（法人成立满一年的提供</w:t>
      </w:r>
      <w:r>
        <w:rPr>
          <w:rFonts w:hint="eastAsia" w:ascii="宋体" w:hAnsi="宋体" w:eastAsia="宋体" w:cs="宋体"/>
          <w:sz w:val="22"/>
          <w:highlight w:val="none"/>
          <w:lang w:eastAsia="zh-CN"/>
        </w:rPr>
        <w:t xml:space="preserve">；</w:t>
      </w:r>
      <w:r/>
    </w:p>
    <w:p>
      <w:pPr>
        <w:ind w:firstLine="440"/>
        <w:rPr>
          <w:rFonts w:hint="eastAsia" w:ascii="宋体" w:hAnsi="宋体" w:eastAsia="宋体" w:cs="宋体"/>
          <w:sz w:val="22"/>
          <w:highlight w:val="none"/>
        </w:rPr>
      </w:pPr>
      <w:r>
        <w:rPr>
          <w:rFonts w:hint="eastAsia" w:ascii="宋体" w:hAnsi="宋体" w:eastAsia="宋体" w:cs="宋体"/>
          <w:sz w:val="22"/>
          <w:highlight w:val="none"/>
        </w:rPr>
        <w:t xml:space="preserve">（2）参加本次政府采购活动前半年内至少一个月依法缴纳税收和社会保障资金的证明材料。</w:t>
      </w:r>
      <w:r/>
    </w:p>
    <w:p>
      <w:pPr>
        <w:ind w:firstLine="660"/>
        <w:rPr>
          <w:rFonts w:hint="eastAsia" w:ascii="宋体" w:hAnsi="宋体" w:eastAsia="宋体" w:cs="宋体"/>
          <w:sz w:val="22"/>
          <w:highlight w:val="none"/>
        </w:rPr>
      </w:pPr>
      <w:r>
        <w:rPr>
          <w:rFonts w:hint="eastAsia" w:ascii="宋体" w:hAnsi="宋体" w:eastAsia="宋体" w:cs="宋体"/>
          <w:sz w:val="22"/>
          <w:highlight w:val="none"/>
        </w:rPr>
        <w:t xml:space="preserve">本公司对上述承诺的真实性负责，如有虚假，将依法承担相应责任。</w:t>
      </w:r>
      <w:r/>
    </w:p>
    <w:p>
      <w:pPr>
        <w:ind w:firstLine="440"/>
        <w:jc w:val="right"/>
        <w:rPr>
          <w:rFonts w:hint="eastAsia" w:ascii="宋体" w:hAnsi="宋体" w:eastAsia="宋体" w:cs="宋体"/>
          <w:sz w:val="22"/>
          <w:highlight w:val="none"/>
        </w:rPr>
      </w:pPr>
      <w:r>
        <w:rPr>
          <w:rFonts w:hint="eastAsia" w:ascii="宋体" w:hAnsi="宋体" w:eastAsia="宋体" w:cs="宋体"/>
          <w:sz w:val="22"/>
          <w:highlight w:val="none"/>
        </w:rPr>
        <w:t xml:space="preserve">供应商名称(加盖电子公章）：</w:t>
      </w:r>
      <w:r/>
    </w:p>
    <w:p>
      <w:pPr>
        <w:jc w:val="right"/>
        <w:spacing w:line="360" w:lineRule="auto"/>
        <w:rPr>
          <w:rFonts w:hint="eastAsia" w:ascii="宋体" w:hAnsi="宋体" w:eastAsia="宋体" w:cs="宋体"/>
          <w:sz w:val="22"/>
          <w:highlight w:val="none"/>
        </w:rPr>
      </w:pPr>
      <w:r>
        <w:rPr>
          <w:rFonts w:hint="eastAsia" w:ascii="宋体" w:hAnsi="宋体" w:eastAsia="宋体" w:cs="宋体"/>
          <w:sz w:val="22"/>
          <w:highlight w:val="none"/>
        </w:rPr>
        <w:t xml:space="preserve">日期:__年__月__日</w:t>
      </w:r>
      <w:r/>
    </w:p>
    <w:p>
      <w:pPr>
        <w:ind w:right="633"/>
        <w:spacing w:before="240" w:after="240" w:line="85" w:lineRule="atLeast"/>
        <w:shd w:val="clear" w:color="ffffff" w:fill="ffff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ind w:right="633"/>
        <w:spacing w:before="240" w:after="240" w:line="85" w:lineRule="atLeast"/>
        <w:shd w:val="clear" w:color="ffffff" w:fill="ffff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sectPr>
      <w:footerReference w:type="default" r:id="rId9"/>
      <w:footnotePr/>
      <w:endnotePr/>
      <w:type w:val="nextPage"/>
      <w:pgSz w:w="11906" w:h="16838" w:orient="portrait"/>
      <w:pgMar w:top="1361" w:right="1361" w:bottom="1361" w:left="1361" w:header="709" w:footer="709"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仿宋简体">
    <w:panose1 w:val="020B0503020202020204"/>
  </w:font>
  <w:font w:name="Verdana">
    <w:panose1 w:val="020B0604030504040204"/>
  </w:font>
  <w:font w:name="Courier New">
    <w:panose1 w:val="02070309020205020404"/>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48590" cy="15303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48590" cy="153035"/>
                      </a:xfrm>
                      <a:prstGeom prst="rect">
                        <a:avLst/>
                      </a:prstGeom>
                      <a:noFill/>
                      <a:ln>
                        <a:noFill/>
                      </a:ln>
                    </wps:spPr>
                    <wps:txbx>
                      <w:txbxContent>
                        <w:p>
                          <w:pPr>
                            <w:pStyle w:val="765"/>
                            <w:tabs>
                              <w:tab w:val="clear" w:pos="7143" w:leader="none"/>
                              <w:tab w:val="clear" w:pos="14287" w:leader="none"/>
                            </w:tabs>
                          </w:pPr>
                          <w:r>
                            <w:fldChar w:fldCharType="begin"/>
                          </w:r>
                          <w:r>
                            <w:instrText xml:space="preserve"> PAGE  \* MERGEFORMAT </w:instrText>
                          </w:r>
                          <w:r>
                            <w:fldChar w:fldCharType="separate"/>
                          </w:r>
                          <w:r>
                            <w:t xml:space="preserve">24</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1.7pt;height:12.0pt;mso-wrap-distance-left:9.0pt;mso-wrap-distance-top:0.0pt;mso-wrap-distance-right:9.0pt;mso-wrap-distance-bottom:0.0pt;visibility:visible;" filled="f" stroked="f">
              <v:textbox inset="0,0,0,0">
                <w:txbxContent>
                  <w:p>
                    <w:pPr>
                      <w:pStyle w:val="765"/>
                      <w:tabs>
                        <w:tab w:val="clear" w:pos="7143" w:leader="none"/>
                        <w:tab w:val="clear" w:pos="14287" w:leader="none"/>
                      </w:tabs>
                    </w:pPr>
                    <w:r>
                      <w:fldChar w:fldCharType="begin"/>
                    </w:r>
                    <w:r>
                      <w:instrText xml:space="preserve"> PAGE  \* MERGEFORMAT </w:instrText>
                    </w:r>
                    <w:r>
                      <w:fldChar w:fldCharType="separate"/>
                    </w:r>
                    <w:r>
                      <w:t xml:space="preserve">24</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条"/>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6" w:default="1">
    <w:name w:val="Normal"/>
    <w:link w:val="784"/>
    <w:uiPriority w:val="0"/>
    <w:qFormat/>
    <w:rPr>
      <w:rFonts w:hint="default" w:ascii="Times New Roman" w:hAnsi="Times New Roman" w:eastAsia="Arial" w:cs="Times New Roman"/>
      <w:sz w:val="21"/>
      <w:szCs w:val="22"/>
      <w:lang w:val="en-US" w:eastAsia="zh-CN" w:bidi="ar-SA"/>
    </w:rPr>
  </w:style>
  <w:style w:type="paragraph" w:styleId="677">
    <w:name w:val="Heading 1"/>
    <w:basedOn w:val="676"/>
    <w:next w:val="676"/>
    <w:link w:val="711"/>
    <w:uiPriority w:val="9"/>
    <w:qFormat/>
    <w:pPr>
      <w:keepLines/>
      <w:keepNext/>
      <w:spacing w:before="480" w:after="200"/>
      <w:outlineLvl w:val="0"/>
    </w:pPr>
    <w:rPr>
      <w:rFonts w:ascii="Arial" w:hAnsi="Arial" w:eastAsia="Arial" w:cs="Arial"/>
      <w:sz w:val="40"/>
      <w:szCs w:val="40"/>
    </w:rPr>
  </w:style>
  <w:style w:type="paragraph" w:styleId="678">
    <w:name w:val="Heading 2"/>
    <w:basedOn w:val="676"/>
    <w:next w:val="676"/>
    <w:link w:val="712"/>
    <w:uiPriority w:val="9"/>
    <w:unhideWhenUsed/>
    <w:qFormat/>
    <w:pPr>
      <w:keepLines/>
      <w:keepNext/>
      <w:spacing w:before="360" w:after="200"/>
      <w:outlineLvl w:val="1"/>
    </w:pPr>
    <w:rPr>
      <w:rFonts w:ascii="Arial" w:hAnsi="Arial" w:eastAsia="Arial" w:cs="Arial"/>
      <w:sz w:val="34"/>
    </w:rPr>
  </w:style>
  <w:style w:type="paragraph" w:styleId="679">
    <w:name w:val="Heading 3"/>
    <w:basedOn w:val="676"/>
    <w:next w:val="676"/>
    <w:link w:val="713"/>
    <w:uiPriority w:val="9"/>
    <w:unhideWhenUsed/>
    <w:qFormat/>
    <w:pPr>
      <w:keepLines/>
      <w:keepNext/>
      <w:spacing w:before="320" w:after="200"/>
      <w:outlineLvl w:val="2"/>
    </w:pPr>
    <w:rPr>
      <w:rFonts w:ascii="Arial" w:hAnsi="Arial" w:eastAsia="Arial" w:cs="Arial"/>
      <w:sz w:val="30"/>
      <w:szCs w:val="30"/>
    </w:rPr>
  </w:style>
  <w:style w:type="paragraph" w:styleId="680">
    <w:name w:val="Heading 4"/>
    <w:basedOn w:val="676"/>
    <w:next w:val="676"/>
    <w:link w:val="714"/>
    <w:uiPriority w:val="9"/>
    <w:unhideWhenUsed/>
    <w:qFormat/>
    <w:pPr>
      <w:keepLines/>
      <w:keepNext/>
      <w:spacing w:before="320" w:after="200"/>
      <w:outlineLvl w:val="3"/>
    </w:pPr>
    <w:rPr>
      <w:rFonts w:ascii="Arial" w:hAnsi="Arial" w:eastAsia="Arial" w:cs="Arial"/>
      <w:b/>
      <w:bCs/>
      <w:sz w:val="26"/>
      <w:szCs w:val="26"/>
    </w:rPr>
  </w:style>
  <w:style w:type="paragraph" w:styleId="681">
    <w:name w:val="Heading 5"/>
    <w:basedOn w:val="676"/>
    <w:next w:val="676"/>
    <w:link w:val="715"/>
    <w:uiPriority w:val="9"/>
    <w:unhideWhenUsed/>
    <w:qFormat/>
    <w:pPr>
      <w:keepLines/>
      <w:keepNext/>
      <w:spacing w:before="320" w:after="200"/>
      <w:outlineLvl w:val="4"/>
    </w:pPr>
    <w:rPr>
      <w:rFonts w:ascii="Arial" w:hAnsi="Arial" w:eastAsia="Arial" w:cs="Arial"/>
      <w:b/>
      <w:bCs/>
      <w:sz w:val="24"/>
      <w:szCs w:val="24"/>
    </w:rPr>
  </w:style>
  <w:style w:type="paragraph" w:styleId="682">
    <w:name w:val="Heading 6"/>
    <w:basedOn w:val="676"/>
    <w:next w:val="676"/>
    <w:link w:val="716"/>
    <w:uiPriority w:val="9"/>
    <w:unhideWhenUsed/>
    <w:qFormat/>
    <w:pPr>
      <w:keepLines/>
      <w:keepNext/>
      <w:spacing w:before="320" w:after="200"/>
      <w:outlineLvl w:val="5"/>
    </w:pPr>
    <w:rPr>
      <w:rFonts w:ascii="Arial" w:hAnsi="Arial" w:eastAsia="Arial" w:cs="Arial"/>
      <w:b/>
      <w:bCs/>
      <w:sz w:val="22"/>
      <w:szCs w:val="22"/>
    </w:rPr>
  </w:style>
  <w:style w:type="paragraph" w:styleId="683">
    <w:name w:val="Heading 7"/>
    <w:basedOn w:val="676"/>
    <w:next w:val="676"/>
    <w:link w:val="717"/>
    <w:uiPriority w:val="9"/>
    <w:unhideWhenUsed/>
    <w:qFormat/>
    <w:pPr>
      <w:keepLines/>
      <w:keepNext/>
      <w:spacing w:before="320" w:after="200"/>
      <w:outlineLvl w:val="6"/>
    </w:pPr>
    <w:rPr>
      <w:rFonts w:ascii="Arial" w:hAnsi="Arial" w:eastAsia="Arial" w:cs="Arial"/>
      <w:b/>
      <w:bCs/>
      <w:i/>
      <w:iCs/>
      <w:sz w:val="22"/>
      <w:szCs w:val="22"/>
    </w:rPr>
  </w:style>
  <w:style w:type="paragraph" w:styleId="684">
    <w:name w:val="Heading 8"/>
    <w:basedOn w:val="676"/>
    <w:next w:val="676"/>
    <w:link w:val="718"/>
    <w:uiPriority w:val="9"/>
    <w:unhideWhenUsed/>
    <w:qFormat/>
    <w:pPr>
      <w:keepLines/>
      <w:keepNext/>
      <w:spacing w:before="320" w:after="200"/>
      <w:outlineLvl w:val="7"/>
    </w:pPr>
    <w:rPr>
      <w:rFonts w:ascii="Arial" w:hAnsi="Arial" w:eastAsia="Arial" w:cs="Arial"/>
      <w:i/>
      <w:iCs/>
      <w:sz w:val="22"/>
      <w:szCs w:val="22"/>
    </w:rPr>
  </w:style>
  <w:style w:type="paragraph" w:styleId="685">
    <w:name w:val="Heading 9"/>
    <w:basedOn w:val="676"/>
    <w:next w:val="676"/>
    <w:link w:val="719"/>
    <w:uiPriority w:val="9"/>
    <w:unhideWhenUsed/>
    <w:qFormat/>
    <w:pPr>
      <w:keepLines/>
      <w:keepNext/>
      <w:spacing w:before="320" w:after="200"/>
      <w:outlineLvl w:val="8"/>
    </w:pPr>
    <w:rPr>
      <w:rFonts w:ascii="Arial" w:hAnsi="Arial" w:eastAsia="Arial" w:cs="Arial"/>
      <w:i/>
      <w:iCs/>
      <w:sz w:val="21"/>
      <w:szCs w:val="21"/>
    </w:rPr>
  </w:style>
  <w:style w:type="character" w:styleId="686" w:default="1">
    <w:name w:val="Default Paragraph Font"/>
    <w:uiPriority w:val="1"/>
    <w:semiHidden/>
    <w:unhideWhenUsed/>
    <w:qFormat/>
  </w:style>
  <w:style w:type="table" w:styleId="687" w:default="1">
    <w:name w:val="Normal Table"/>
    <w:uiPriority w:val="99"/>
    <w:semiHidden/>
    <w:unhideWhenUsed/>
    <w:qFormat/>
    <w:tblPr>
      <w:tblCellMar>
        <w:left w:w="108" w:type="dxa"/>
        <w:top w:w="0" w:type="dxa"/>
        <w:right w:w="108" w:type="dxa"/>
        <w:bottom w:w="0" w:type="dxa"/>
      </w:tblCellMar>
    </w:tblPr>
  </w:style>
  <w:style w:type="paragraph" w:styleId="688">
    <w:name w:val="toc 7"/>
    <w:basedOn w:val="676"/>
    <w:next w:val="676"/>
    <w:uiPriority w:val="39"/>
    <w:unhideWhenUsed/>
    <w:qFormat/>
    <w:pPr>
      <w:ind w:left="1701" w:right="0" w:firstLine="0"/>
      <w:spacing w:after="57"/>
    </w:pPr>
  </w:style>
  <w:style w:type="paragraph" w:styleId="689">
    <w:name w:val="Caption"/>
    <w:basedOn w:val="676"/>
    <w:next w:val="67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0">
    <w:name w:val="annotation text"/>
    <w:basedOn w:val="676"/>
    <w:uiPriority w:val="99"/>
    <w:semiHidden/>
    <w:unhideWhenUsed/>
    <w:qFormat/>
    <w:pPr>
      <w:jc w:val="left"/>
    </w:pPr>
  </w:style>
  <w:style w:type="paragraph" w:styleId="691">
    <w:name w:val="toc 5"/>
    <w:basedOn w:val="676"/>
    <w:next w:val="676"/>
    <w:uiPriority w:val="39"/>
    <w:unhideWhenUsed/>
    <w:qFormat/>
    <w:pPr>
      <w:ind w:left="1134" w:right="0" w:firstLine="0"/>
      <w:spacing w:after="57"/>
    </w:pPr>
  </w:style>
  <w:style w:type="paragraph" w:styleId="692">
    <w:name w:val="toc 3"/>
    <w:basedOn w:val="676"/>
    <w:next w:val="676"/>
    <w:uiPriority w:val="39"/>
    <w:unhideWhenUsed/>
    <w:qFormat/>
    <w:pPr>
      <w:ind w:left="567" w:right="0" w:firstLine="0"/>
      <w:spacing w:after="57"/>
    </w:pPr>
  </w:style>
  <w:style w:type="paragraph" w:styleId="693">
    <w:name w:val="toc 8"/>
    <w:basedOn w:val="676"/>
    <w:next w:val="676"/>
    <w:uiPriority w:val="39"/>
    <w:unhideWhenUsed/>
    <w:qFormat/>
    <w:pPr>
      <w:ind w:left="1984" w:right="0" w:firstLine="0"/>
      <w:spacing w:after="57"/>
    </w:pPr>
  </w:style>
  <w:style w:type="paragraph" w:styleId="694">
    <w:name w:val="endnote text"/>
    <w:basedOn w:val="676"/>
    <w:link w:val="732"/>
    <w:uiPriority w:val="99"/>
    <w:semiHidden/>
    <w:unhideWhenUsed/>
    <w:qFormat/>
    <w:pPr>
      <w:spacing w:after="0" w:line="240" w:lineRule="auto"/>
    </w:pPr>
    <w:rPr>
      <w:sz w:val="20"/>
    </w:rPr>
  </w:style>
  <w:style w:type="paragraph" w:styleId="695">
    <w:name w:val="Footer"/>
    <w:basedOn w:val="676"/>
    <w:link w:val="730"/>
    <w:uiPriority w:val="99"/>
    <w:unhideWhenUsed/>
    <w:qFormat/>
    <w:pPr>
      <w:spacing w:after="0" w:line="240" w:lineRule="auto"/>
      <w:tabs>
        <w:tab w:val="center" w:pos="7143" w:leader="none"/>
        <w:tab w:val="right" w:pos="14287" w:leader="none"/>
      </w:tabs>
    </w:pPr>
  </w:style>
  <w:style w:type="paragraph" w:styleId="696">
    <w:name w:val="Header"/>
    <w:basedOn w:val="676"/>
    <w:link w:val="728"/>
    <w:uiPriority w:val="99"/>
    <w:unhideWhenUsed/>
    <w:qFormat/>
    <w:pPr>
      <w:spacing w:after="0" w:line="240" w:lineRule="auto"/>
      <w:tabs>
        <w:tab w:val="center" w:pos="7143" w:leader="none"/>
        <w:tab w:val="right" w:pos="14287" w:leader="none"/>
      </w:tabs>
    </w:pPr>
  </w:style>
  <w:style w:type="paragraph" w:styleId="697">
    <w:name w:val="toc 1"/>
    <w:basedOn w:val="676"/>
    <w:next w:val="676"/>
    <w:uiPriority w:val="39"/>
    <w:unhideWhenUsed/>
    <w:qFormat/>
    <w:pPr>
      <w:ind w:left="0" w:right="0" w:firstLine="0"/>
      <w:spacing w:after="57"/>
    </w:pPr>
  </w:style>
  <w:style w:type="paragraph" w:styleId="698">
    <w:name w:val="toc 4"/>
    <w:basedOn w:val="676"/>
    <w:next w:val="676"/>
    <w:uiPriority w:val="39"/>
    <w:unhideWhenUsed/>
    <w:qFormat/>
    <w:pPr>
      <w:ind w:left="850" w:right="0" w:firstLine="0"/>
      <w:spacing w:after="57"/>
    </w:pPr>
  </w:style>
  <w:style w:type="paragraph" w:styleId="699">
    <w:name w:val="Subtitle"/>
    <w:basedOn w:val="676"/>
    <w:next w:val="676"/>
    <w:link w:val="723"/>
    <w:uiPriority w:val="11"/>
    <w:qFormat/>
    <w:pPr>
      <w:spacing w:before="200" w:after="200"/>
    </w:pPr>
    <w:rPr>
      <w:sz w:val="24"/>
      <w:szCs w:val="24"/>
    </w:rPr>
  </w:style>
  <w:style w:type="paragraph" w:styleId="700">
    <w:name w:val="footnote text"/>
    <w:basedOn w:val="676"/>
    <w:link w:val="731"/>
    <w:uiPriority w:val="99"/>
    <w:semiHidden/>
    <w:unhideWhenUsed/>
    <w:qFormat/>
    <w:pPr>
      <w:spacing w:after="40" w:line="240" w:lineRule="auto"/>
    </w:pPr>
    <w:rPr>
      <w:sz w:val="18"/>
    </w:rPr>
  </w:style>
  <w:style w:type="paragraph" w:styleId="701">
    <w:name w:val="toc 6"/>
    <w:basedOn w:val="676"/>
    <w:next w:val="676"/>
    <w:uiPriority w:val="39"/>
    <w:unhideWhenUsed/>
    <w:qFormat/>
    <w:pPr>
      <w:ind w:left="1417" w:right="0" w:firstLine="0"/>
      <w:spacing w:after="57"/>
    </w:pPr>
  </w:style>
  <w:style w:type="paragraph" w:styleId="702">
    <w:name w:val="table of figures"/>
    <w:basedOn w:val="676"/>
    <w:next w:val="676"/>
    <w:uiPriority w:val="99"/>
    <w:unhideWhenUsed/>
    <w:qFormat/>
    <w:pPr>
      <w:spacing w:after="0" w:afterAutospacing="0"/>
    </w:pPr>
  </w:style>
  <w:style w:type="paragraph" w:styleId="703">
    <w:name w:val="toc 2"/>
    <w:basedOn w:val="676"/>
    <w:next w:val="676"/>
    <w:uiPriority w:val="39"/>
    <w:unhideWhenUsed/>
    <w:qFormat/>
    <w:pPr>
      <w:ind w:left="283" w:right="0" w:firstLine="0"/>
      <w:spacing w:after="57"/>
    </w:pPr>
  </w:style>
  <w:style w:type="paragraph" w:styleId="704">
    <w:name w:val="toc 9"/>
    <w:basedOn w:val="676"/>
    <w:next w:val="676"/>
    <w:uiPriority w:val="39"/>
    <w:unhideWhenUsed/>
    <w:qFormat/>
    <w:pPr>
      <w:ind w:left="2268" w:right="0" w:firstLine="0"/>
      <w:spacing w:after="57"/>
    </w:pPr>
  </w:style>
  <w:style w:type="paragraph" w:styleId="705">
    <w:name w:val="Title"/>
    <w:basedOn w:val="676"/>
    <w:next w:val="676"/>
    <w:link w:val="722"/>
    <w:uiPriority w:val="10"/>
    <w:qFormat/>
    <w:pPr>
      <w:contextualSpacing/>
      <w:spacing w:before="300" w:after="200"/>
    </w:pPr>
    <w:rPr>
      <w:sz w:val="48"/>
      <w:szCs w:val="48"/>
    </w:rPr>
  </w:style>
  <w:style w:type="table" w:styleId="70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7">
    <w:name w:val="endnote reference"/>
    <w:uiPriority w:val="99"/>
    <w:semiHidden/>
    <w:unhideWhenUsed/>
    <w:qFormat/>
    <w:rPr>
      <w:vertAlign w:val="superscript"/>
    </w:rPr>
  </w:style>
  <w:style w:type="character" w:styleId="708">
    <w:name w:val="Hyperlink"/>
    <w:uiPriority w:val="99"/>
    <w:unhideWhenUsed/>
    <w:qFormat/>
    <w:rPr>
      <w:color w:val="0000ff" w:themeColor="hyperlink"/>
      <w:u w:val="single"/>
      <w14:textFill>
        <w14:solidFill>
          <w14:schemeClr w14:val="hlink"/>
        </w14:solidFill>
      </w14:textFill>
    </w:rPr>
  </w:style>
  <w:style w:type="character" w:styleId="709">
    <w:name w:val="footnote reference"/>
    <w:uiPriority w:val="99"/>
    <w:unhideWhenUsed/>
    <w:qFormat/>
    <w:rPr>
      <w:vertAlign w:val="superscript"/>
    </w:rPr>
  </w:style>
  <w:style w:type="paragraph" w:styleId="710" w:customStyle="1">
    <w:name w:val="标题 41"/>
    <w:basedOn w:val="676"/>
    <w:next w:val="676"/>
    <w:link w:val="743"/>
    <w:uiPriority w:val="9"/>
    <w:qFormat/>
    <w:pPr>
      <w:keepLines/>
      <w:keepNext/>
      <w:spacing w:before="320" w:after="200"/>
      <w:outlineLvl w:val="3"/>
    </w:pPr>
    <w:rPr>
      <w:rFonts w:ascii="Arial" w:hAnsi="Arial" w:eastAsia="Arial" w:cs="Arial"/>
      <w:b/>
      <w:bCs/>
      <w:sz w:val="26"/>
      <w:szCs w:val="26"/>
      <w:lang w:val="en-US" w:eastAsia="zh-CN" w:bidi="ar-SA"/>
    </w:rPr>
  </w:style>
  <w:style w:type="character" w:styleId="711" w:customStyle="1">
    <w:name w:val="Heading 1 Char"/>
    <w:link w:val="677"/>
    <w:uiPriority w:val="9"/>
    <w:qFormat/>
    <w:rPr>
      <w:rFonts w:ascii="Arial" w:hAnsi="Arial" w:eastAsia="Arial" w:cs="Arial"/>
      <w:sz w:val="40"/>
      <w:szCs w:val="40"/>
    </w:rPr>
  </w:style>
  <w:style w:type="character" w:styleId="712" w:customStyle="1">
    <w:name w:val="Heading 2 Char"/>
    <w:link w:val="678"/>
    <w:uiPriority w:val="9"/>
    <w:qFormat/>
    <w:rPr>
      <w:rFonts w:ascii="Arial" w:hAnsi="Arial" w:eastAsia="Arial" w:cs="Arial"/>
      <w:sz w:val="34"/>
    </w:rPr>
  </w:style>
  <w:style w:type="character" w:styleId="713" w:customStyle="1">
    <w:name w:val="Heading 3 Char"/>
    <w:link w:val="679"/>
    <w:uiPriority w:val="9"/>
    <w:qFormat/>
    <w:rPr>
      <w:rFonts w:ascii="Arial" w:hAnsi="Arial" w:eastAsia="Arial" w:cs="Arial"/>
      <w:sz w:val="30"/>
      <w:szCs w:val="30"/>
    </w:rPr>
  </w:style>
  <w:style w:type="character" w:styleId="714" w:customStyle="1">
    <w:name w:val="Heading 4 Char"/>
    <w:link w:val="680"/>
    <w:uiPriority w:val="9"/>
    <w:qFormat/>
    <w:rPr>
      <w:rFonts w:ascii="Arial" w:hAnsi="Arial" w:eastAsia="Arial" w:cs="Arial"/>
      <w:b/>
      <w:bCs/>
      <w:sz w:val="26"/>
      <w:szCs w:val="26"/>
    </w:rPr>
  </w:style>
  <w:style w:type="character" w:styleId="715" w:customStyle="1">
    <w:name w:val="Heading 5 Char"/>
    <w:link w:val="681"/>
    <w:uiPriority w:val="9"/>
    <w:qFormat/>
    <w:rPr>
      <w:rFonts w:ascii="Arial" w:hAnsi="Arial" w:eastAsia="Arial" w:cs="Arial"/>
      <w:b/>
      <w:bCs/>
      <w:sz w:val="24"/>
      <w:szCs w:val="24"/>
    </w:rPr>
  </w:style>
  <w:style w:type="character" w:styleId="716" w:customStyle="1">
    <w:name w:val="Heading 6 Char"/>
    <w:link w:val="682"/>
    <w:uiPriority w:val="9"/>
    <w:qFormat/>
    <w:rPr>
      <w:rFonts w:ascii="Arial" w:hAnsi="Arial" w:eastAsia="Arial" w:cs="Arial"/>
      <w:b/>
      <w:bCs/>
      <w:sz w:val="22"/>
      <w:szCs w:val="22"/>
    </w:rPr>
  </w:style>
  <w:style w:type="character" w:styleId="717" w:customStyle="1">
    <w:name w:val="Heading 7 Char"/>
    <w:link w:val="683"/>
    <w:uiPriority w:val="9"/>
    <w:qFormat/>
    <w:rPr>
      <w:rFonts w:ascii="Arial" w:hAnsi="Arial" w:eastAsia="Arial" w:cs="Arial"/>
      <w:b/>
      <w:bCs/>
      <w:i/>
      <w:iCs/>
      <w:sz w:val="22"/>
      <w:szCs w:val="22"/>
    </w:rPr>
  </w:style>
  <w:style w:type="character" w:styleId="718" w:customStyle="1">
    <w:name w:val="Heading 8 Char"/>
    <w:link w:val="684"/>
    <w:uiPriority w:val="9"/>
    <w:qFormat/>
    <w:rPr>
      <w:rFonts w:ascii="Arial" w:hAnsi="Arial" w:eastAsia="Arial" w:cs="Arial"/>
      <w:i/>
      <w:iCs/>
      <w:sz w:val="22"/>
      <w:szCs w:val="22"/>
    </w:rPr>
  </w:style>
  <w:style w:type="character" w:styleId="719" w:customStyle="1">
    <w:name w:val="Heading 9 Char"/>
    <w:link w:val="685"/>
    <w:uiPriority w:val="9"/>
    <w:qFormat/>
    <w:rPr>
      <w:rFonts w:ascii="Arial" w:hAnsi="Arial" w:eastAsia="Arial" w:cs="Arial"/>
      <w:i/>
      <w:iCs/>
      <w:sz w:val="21"/>
      <w:szCs w:val="21"/>
    </w:rPr>
  </w:style>
  <w:style w:type="paragraph" w:styleId="720">
    <w:name w:val="List Paragraph"/>
    <w:basedOn w:val="676"/>
    <w:uiPriority w:val="34"/>
    <w:qFormat/>
    <w:pPr>
      <w:contextualSpacing/>
      <w:ind w:left="720"/>
    </w:pPr>
  </w:style>
  <w:style w:type="paragraph" w:styleId="721">
    <w:name w:val="No Spacing"/>
    <w:uiPriority w:val="1"/>
    <w:qFormat/>
    <w:pPr>
      <w:spacing w:before="0" w:after="0" w:line="240" w:lineRule="auto"/>
    </w:pPr>
    <w:rPr>
      <w:rFonts w:hint="default" w:ascii="Times New Roman" w:hAnsi="Times New Roman" w:eastAsia="宋体" w:cs="Times New Roman"/>
    </w:rPr>
  </w:style>
  <w:style w:type="character" w:styleId="722" w:customStyle="1">
    <w:name w:val="Title Char"/>
    <w:link w:val="705"/>
    <w:uiPriority w:val="10"/>
    <w:qFormat/>
    <w:rPr>
      <w:sz w:val="48"/>
      <w:szCs w:val="48"/>
    </w:rPr>
  </w:style>
  <w:style w:type="character" w:styleId="723" w:customStyle="1">
    <w:name w:val="Subtitle Char"/>
    <w:link w:val="699"/>
    <w:uiPriority w:val="11"/>
    <w:qFormat/>
    <w:rPr>
      <w:sz w:val="24"/>
      <w:szCs w:val="24"/>
    </w:rPr>
  </w:style>
  <w:style w:type="paragraph" w:styleId="724">
    <w:name w:val="Quote"/>
    <w:basedOn w:val="676"/>
    <w:next w:val="676"/>
    <w:link w:val="725"/>
    <w:uiPriority w:val="29"/>
    <w:qFormat/>
    <w:pPr>
      <w:ind w:left="720" w:right="720"/>
    </w:pPr>
    <w:rPr>
      <w:i/>
    </w:rPr>
  </w:style>
  <w:style w:type="character" w:styleId="725" w:customStyle="1">
    <w:name w:val="Quote Char"/>
    <w:link w:val="724"/>
    <w:uiPriority w:val="29"/>
    <w:qFormat/>
    <w:rPr>
      <w:i/>
    </w:rPr>
  </w:style>
  <w:style w:type="paragraph" w:styleId="726">
    <w:name w:val="Intense Quote"/>
    <w:basedOn w:val="676"/>
    <w:next w:val="676"/>
    <w:link w:val="72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7" w:customStyle="1">
    <w:name w:val="Intense Quote Char"/>
    <w:link w:val="726"/>
    <w:uiPriority w:val="30"/>
    <w:qFormat/>
    <w:rPr>
      <w:i/>
    </w:rPr>
  </w:style>
  <w:style w:type="character" w:styleId="728" w:customStyle="1">
    <w:name w:val="Header Char"/>
    <w:link w:val="696"/>
    <w:uiPriority w:val="99"/>
    <w:qFormat/>
  </w:style>
  <w:style w:type="character" w:styleId="729" w:customStyle="1">
    <w:name w:val="Footer Char"/>
    <w:link w:val="695"/>
    <w:uiPriority w:val="99"/>
    <w:qFormat/>
  </w:style>
  <w:style w:type="character" w:styleId="730" w:customStyle="1">
    <w:name w:val="Caption Char"/>
    <w:link w:val="695"/>
    <w:uiPriority w:val="99"/>
    <w:qFormat/>
  </w:style>
  <w:style w:type="character" w:styleId="731" w:customStyle="1">
    <w:name w:val="Footnote Text Char"/>
    <w:link w:val="700"/>
    <w:uiPriority w:val="99"/>
    <w:qFormat/>
    <w:rPr>
      <w:sz w:val="18"/>
    </w:rPr>
  </w:style>
  <w:style w:type="character" w:styleId="732" w:customStyle="1">
    <w:name w:val="Endnote Text Char"/>
    <w:link w:val="694"/>
    <w:uiPriority w:val="99"/>
    <w:qFormat/>
    <w:rPr>
      <w:sz w:val="20"/>
    </w:rPr>
  </w:style>
  <w:style w:type="paragraph" w:styleId="733" w:customStyle="1">
    <w:name w:val="标题 11"/>
    <w:next w:val="676"/>
    <w:link w:val="744"/>
    <w:uiPriority w:val="9"/>
    <w:qFormat/>
    <w:pPr>
      <w:keepLines/>
      <w:keepNext/>
      <w:spacing w:before="480" w:after="200"/>
      <w:outlineLvl w:val="0"/>
    </w:pPr>
    <w:rPr>
      <w:rFonts w:hint="default" w:ascii="Times New Roman" w:hAnsi="Times New Roman" w:eastAsia="Arial" w:cs="Arial"/>
      <w:sz w:val="40"/>
      <w:szCs w:val="40"/>
      <w:lang w:val="en-US" w:eastAsia="zh-CN" w:bidi="ar-SA"/>
    </w:rPr>
  </w:style>
  <w:style w:type="paragraph" w:styleId="734" w:customStyle="1">
    <w:name w:val="标题 21"/>
    <w:next w:val="676"/>
    <w:link w:val="745"/>
    <w:uiPriority w:val="9"/>
    <w:qFormat/>
    <w:pPr>
      <w:keepLines/>
      <w:keepNext/>
      <w:spacing w:before="360" w:after="200"/>
      <w:outlineLvl w:val="1"/>
    </w:pPr>
    <w:rPr>
      <w:rFonts w:hint="default" w:ascii="Times New Roman" w:hAnsi="Times New Roman" w:eastAsia="Arial" w:cs="Arial"/>
      <w:sz w:val="34"/>
      <w:szCs w:val="22"/>
      <w:lang w:val="en-US" w:eastAsia="zh-CN" w:bidi="ar-SA"/>
    </w:rPr>
  </w:style>
  <w:style w:type="paragraph" w:styleId="735" w:customStyle="1">
    <w:name w:val="标题 31"/>
    <w:next w:val="676"/>
    <w:link w:val="746"/>
    <w:uiPriority w:val="9"/>
    <w:qFormat/>
    <w:pPr>
      <w:keepLines/>
      <w:keepNext/>
      <w:spacing w:before="320" w:after="200"/>
      <w:outlineLvl w:val="2"/>
    </w:pPr>
    <w:rPr>
      <w:rFonts w:hint="default" w:ascii="Times New Roman" w:hAnsi="Times New Roman" w:eastAsia="Arial" w:cs="Arial"/>
      <w:sz w:val="30"/>
      <w:szCs w:val="30"/>
      <w:lang w:val="en-US" w:eastAsia="zh-CN" w:bidi="ar-SA"/>
    </w:rPr>
  </w:style>
  <w:style w:type="paragraph" w:styleId="736" w:customStyle="1">
    <w:name w:val="标题 51"/>
    <w:next w:val="676"/>
    <w:link w:val="747"/>
    <w:uiPriority w:val="9"/>
    <w:qFormat/>
    <w:pPr>
      <w:keepLines/>
      <w:keepNext/>
      <w:spacing w:before="320" w:after="200"/>
      <w:outlineLvl w:val="4"/>
    </w:pPr>
    <w:rPr>
      <w:rFonts w:hint="default" w:ascii="Times New Roman" w:hAnsi="Times New Roman" w:eastAsia="Arial" w:cs="Arial"/>
      <w:b/>
      <w:bCs/>
      <w:sz w:val="24"/>
      <w:szCs w:val="24"/>
      <w:lang w:val="en-US" w:eastAsia="zh-CN" w:bidi="ar-SA"/>
    </w:rPr>
  </w:style>
  <w:style w:type="paragraph" w:styleId="737" w:customStyle="1">
    <w:name w:val="标题 61"/>
    <w:next w:val="676"/>
    <w:link w:val="748"/>
    <w:uiPriority w:val="9"/>
    <w:qFormat/>
    <w:pPr>
      <w:keepLines/>
      <w:keepNext/>
      <w:spacing w:before="320" w:after="200"/>
      <w:outlineLvl w:val="5"/>
    </w:pPr>
    <w:rPr>
      <w:rFonts w:hint="default" w:ascii="Times New Roman" w:hAnsi="Times New Roman" w:eastAsia="Arial" w:cs="Arial"/>
      <w:b/>
      <w:bCs/>
      <w:sz w:val="22"/>
      <w:szCs w:val="22"/>
      <w:lang w:val="en-US" w:eastAsia="zh-CN" w:bidi="ar-SA"/>
    </w:rPr>
  </w:style>
  <w:style w:type="paragraph" w:styleId="738" w:customStyle="1">
    <w:name w:val="标题 71"/>
    <w:next w:val="676"/>
    <w:link w:val="749"/>
    <w:uiPriority w:val="9"/>
    <w:qFormat/>
    <w:pPr>
      <w:keepLines/>
      <w:keepNext/>
      <w:spacing w:before="320" w:after="200"/>
      <w:outlineLvl w:val="6"/>
    </w:pPr>
    <w:rPr>
      <w:rFonts w:hint="default" w:ascii="Times New Roman" w:hAnsi="Times New Roman" w:eastAsia="Arial" w:cs="Arial"/>
      <w:b/>
      <w:bCs/>
      <w:i/>
      <w:iCs/>
      <w:sz w:val="22"/>
      <w:szCs w:val="22"/>
      <w:lang w:val="en-US" w:eastAsia="zh-CN" w:bidi="ar-SA"/>
    </w:rPr>
  </w:style>
  <w:style w:type="paragraph" w:styleId="739" w:customStyle="1">
    <w:name w:val="标题 81"/>
    <w:next w:val="676"/>
    <w:link w:val="750"/>
    <w:uiPriority w:val="9"/>
    <w:qFormat/>
    <w:pPr>
      <w:keepLines/>
      <w:keepNext/>
      <w:spacing w:before="320" w:after="200"/>
      <w:outlineLvl w:val="7"/>
    </w:pPr>
    <w:rPr>
      <w:rFonts w:hint="default" w:ascii="Times New Roman" w:hAnsi="Times New Roman" w:eastAsia="Arial" w:cs="Arial"/>
      <w:i/>
      <w:iCs/>
      <w:sz w:val="22"/>
      <w:szCs w:val="22"/>
      <w:lang w:val="en-US" w:eastAsia="zh-CN" w:bidi="ar-SA"/>
    </w:rPr>
  </w:style>
  <w:style w:type="paragraph" w:styleId="740" w:customStyle="1">
    <w:name w:val="标题 91"/>
    <w:next w:val="676"/>
    <w:link w:val="751"/>
    <w:uiPriority w:val="9"/>
    <w:qFormat/>
    <w:pPr>
      <w:keepLines/>
      <w:keepNext/>
      <w:spacing w:before="320" w:after="200"/>
      <w:outlineLvl w:val="8"/>
    </w:pPr>
    <w:rPr>
      <w:rFonts w:hint="default" w:ascii="Times New Roman" w:hAnsi="Times New Roman" w:eastAsia="Arial" w:cs="Arial"/>
      <w:i/>
      <w:iCs/>
      <w:sz w:val="21"/>
      <w:szCs w:val="21"/>
      <w:lang w:val="en-US" w:eastAsia="zh-CN" w:bidi="ar-SA"/>
    </w:rPr>
  </w:style>
  <w:style w:type="character" w:styleId="741" w:customStyle="1">
    <w:name w:val="默认段落字体1"/>
    <w:link w:val="676"/>
    <w:uiPriority w:val="1"/>
    <w:unhideWhenUsed/>
    <w:qFormat/>
  </w:style>
  <w:style w:type="table" w:styleId="742" w:customStyle="1">
    <w:name w:val="普通表格1"/>
    <w:uiPriority w:val="99"/>
    <w:unhideWhenUsed/>
    <w:qFormat/>
    <w:tblPr/>
  </w:style>
  <w:style w:type="character" w:styleId="743" w:customStyle="1">
    <w:name w:val="标题 4 Char"/>
    <w:link w:val="710"/>
    <w:uiPriority w:val="9"/>
    <w:qFormat/>
    <w:rPr>
      <w:rFonts w:ascii="Arial" w:hAnsi="Arial" w:eastAsia="Arial" w:cs="Arial"/>
      <w:b/>
      <w:bCs/>
      <w:sz w:val="26"/>
      <w:szCs w:val="26"/>
    </w:rPr>
  </w:style>
  <w:style w:type="character" w:styleId="744" w:customStyle="1">
    <w:name w:val="标题 1 Char"/>
    <w:link w:val="733"/>
    <w:uiPriority w:val="9"/>
    <w:qFormat/>
    <w:rPr>
      <w:rFonts w:ascii="Arial" w:hAnsi="Arial" w:eastAsia="Arial" w:cs="Arial"/>
      <w:sz w:val="40"/>
      <w:szCs w:val="40"/>
    </w:rPr>
  </w:style>
  <w:style w:type="character" w:styleId="745" w:customStyle="1">
    <w:name w:val="标题 2 Char"/>
    <w:link w:val="734"/>
    <w:uiPriority w:val="9"/>
    <w:qFormat/>
    <w:rPr>
      <w:rFonts w:ascii="Arial" w:hAnsi="Arial" w:eastAsia="Arial" w:cs="Arial"/>
      <w:sz w:val="34"/>
    </w:rPr>
  </w:style>
  <w:style w:type="character" w:styleId="746" w:customStyle="1">
    <w:name w:val="标题 3 Char"/>
    <w:link w:val="735"/>
    <w:uiPriority w:val="9"/>
    <w:qFormat/>
    <w:rPr>
      <w:rFonts w:ascii="Arial" w:hAnsi="Arial" w:eastAsia="Arial" w:cs="Arial"/>
      <w:sz w:val="30"/>
      <w:szCs w:val="30"/>
    </w:rPr>
  </w:style>
  <w:style w:type="character" w:styleId="747" w:customStyle="1">
    <w:name w:val="标题 5 Char"/>
    <w:link w:val="736"/>
    <w:uiPriority w:val="9"/>
    <w:qFormat/>
    <w:rPr>
      <w:rFonts w:ascii="Arial" w:hAnsi="Arial" w:eastAsia="Arial" w:cs="Arial"/>
      <w:b/>
      <w:bCs/>
      <w:sz w:val="24"/>
      <w:szCs w:val="24"/>
    </w:rPr>
  </w:style>
  <w:style w:type="character" w:styleId="748" w:customStyle="1">
    <w:name w:val="标题 6 Char"/>
    <w:link w:val="737"/>
    <w:uiPriority w:val="9"/>
    <w:qFormat/>
    <w:rPr>
      <w:rFonts w:ascii="Arial" w:hAnsi="Arial" w:eastAsia="Arial" w:cs="Arial"/>
      <w:b/>
      <w:bCs/>
      <w:sz w:val="22"/>
      <w:szCs w:val="22"/>
    </w:rPr>
  </w:style>
  <w:style w:type="character" w:styleId="749" w:customStyle="1">
    <w:name w:val="标题 7 Char"/>
    <w:link w:val="738"/>
    <w:uiPriority w:val="9"/>
    <w:qFormat/>
    <w:rPr>
      <w:rFonts w:ascii="Arial" w:hAnsi="Arial" w:eastAsia="Arial" w:cs="Arial"/>
      <w:b/>
      <w:bCs/>
      <w:i/>
      <w:iCs/>
      <w:sz w:val="22"/>
      <w:szCs w:val="22"/>
    </w:rPr>
  </w:style>
  <w:style w:type="character" w:styleId="750" w:customStyle="1">
    <w:name w:val="标题 8 Char"/>
    <w:link w:val="739"/>
    <w:uiPriority w:val="9"/>
    <w:qFormat/>
    <w:rPr>
      <w:rFonts w:ascii="Arial" w:hAnsi="Arial" w:eastAsia="Arial" w:cs="Arial"/>
      <w:i/>
      <w:iCs/>
      <w:sz w:val="22"/>
      <w:szCs w:val="22"/>
    </w:rPr>
  </w:style>
  <w:style w:type="character" w:styleId="751" w:customStyle="1">
    <w:name w:val="标题 9 Char"/>
    <w:link w:val="740"/>
    <w:uiPriority w:val="9"/>
    <w:qFormat/>
    <w:rPr>
      <w:rFonts w:ascii="Arial" w:hAnsi="Arial" w:eastAsia="Arial" w:cs="Arial"/>
      <w:i/>
      <w:iCs/>
      <w:sz w:val="21"/>
      <w:szCs w:val="21"/>
    </w:rPr>
  </w:style>
  <w:style w:type="paragraph" w:styleId="752" w:customStyle="1">
    <w:name w:val="目录 71"/>
    <w:next w:val="676"/>
    <w:uiPriority w:val="39"/>
    <w:unhideWhenUsed/>
    <w:qFormat/>
    <w:pPr>
      <w:ind w:left="1701"/>
      <w:spacing w:after="57"/>
    </w:pPr>
    <w:rPr>
      <w:rFonts w:hint="default" w:ascii="Times New Roman" w:hAnsi="Times New Roman" w:eastAsia="Arial" w:cs="Times New Roman"/>
      <w:sz w:val="21"/>
      <w:szCs w:val="22"/>
      <w:lang w:val="en-US" w:eastAsia="zh-CN" w:bidi="ar-SA"/>
    </w:rPr>
  </w:style>
  <w:style w:type="paragraph" w:styleId="753" w:customStyle="1">
    <w:name w:val="正文缩进1"/>
    <w:basedOn w:val="676"/>
    <w:uiPriority w:val="0"/>
    <w:qFormat/>
    <w:pPr>
      <w:ind w:firstLine="420"/>
    </w:pPr>
    <w:rPr>
      <w:szCs w:val="20"/>
    </w:rPr>
  </w:style>
  <w:style w:type="paragraph" w:styleId="754" w:customStyle="1">
    <w:name w:val="题注1"/>
    <w:next w:val="676"/>
    <w:uiPriority w:val="35"/>
    <w:qFormat/>
    <w:pPr>
      <w:spacing w:line="276" w:lineRule="auto"/>
    </w:pPr>
    <w:rPr>
      <w:rFonts w:hint="default" w:ascii="Times New Roman" w:hAnsi="Times New Roman" w:eastAsia="Arial" w:cs="Times New Roman"/>
      <w:b/>
      <w:bCs/>
      <w:color w:val="4f81bd"/>
      <w:sz w:val="18"/>
      <w:szCs w:val="18"/>
      <w:lang w:val="en-US" w:eastAsia="zh-CN" w:bidi="ar-SA"/>
    </w:rPr>
  </w:style>
  <w:style w:type="paragraph" w:styleId="755" w:customStyle="1">
    <w:name w:val="批注文字1"/>
    <w:basedOn w:val="676"/>
    <w:uiPriority w:val="99"/>
    <w:unhideWhenUsed/>
    <w:qFormat/>
  </w:style>
  <w:style w:type="paragraph" w:styleId="756" w:customStyle="1">
    <w:name w:val="正文文本1"/>
    <w:basedOn w:val="676"/>
    <w:uiPriority w:val="0"/>
    <w:qFormat/>
    <w:pPr>
      <w:spacing w:after="120"/>
    </w:pPr>
    <w:rPr>
      <w:szCs w:val="20"/>
    </w:rPr>
  </w:style>
  <w:style w:type="paragraph" w:styleId="757" w:customStyle="1">
    <w:name w:val="索引 411"/>
    <w:basedOn w:val="676"/>
    <w:next w:val="676"/>
    <w:uiPriority w:val="0"/>
    <w:qFormat/>
    <w:pPr>
      <w:ind w:left="840" w:hanging="210"/>
    </w:pPr>
    <w:rPr>
      <w:sz w:val="20"/>
    </w:rPr>
  </w:style>
  <w:style w:type="paragraph" w:styleId="758" w:customStyle="1">
    <w:name w:val="目录 51"/>
    <w:next w:val="676"/>
    <w:uiPriority w:val="39"/>
    <w:unhideWhenUsed/>
    <w:qFormat/>
    <w:pPr>
      <w:ind w:left="1134"/>
      <w:spacing w:after="57"/>
    </w:pPr>
    <w:rPr>
      <w:rFonts w:hint="default" w:ascii="Times New Roman" w:hAnsi="Times New Roman" w:eastAsia="Arial" w:cs="Times New Roman"/>
      <w:sz w:val="21"/>
      <w:szCs w:val="22"/>
      <w:lang w:val="en-US" w:eastAsia="zh-CN" w:bidi="ar-SA"/>
    </w:rPr>
  </w:style>
  <w:style w:type="paragraph" w:styleId="759" w:customStyle="1">
    <w:name w:val="目录 31"/>
    <w:next w:val="676"/>
    <w:uiPriority w:val="39"/>
    <w:unhideWhenUsed/>
    <w:qFormat/>
    <w:pPr>
      <w:ind w:left="567"/>
      <w:spacing w:after="57"/>
    </w:pPr>
    <w:rPr>
      <w:rFonts w:hint="default" w:ascii="Times New Roman" w:hAnsi="Times New Roman" w:eastAsia="Arial" w:cs="Times New Roman"/>
      <w:sz w:val="21"/>
      <w:szCs w:val="22"/>
      <w:lang w:val="en-US" w:eastAsia="zh-CN" w:bidi="ar-SA"/>
    </w:rPr>
  </w:style>
  <w:style w:type="paragraph" w:styleId="760" w:customStyle="1">
    <w:name w:val="目录 81"/>
    <w:next w:val="676"/>
    <w:uiPriority w:val="39"/>
    <w:unhideWhenUsed/>
    <w:qFormat/>
    <w:pPr>
      <w:ind w:left="1984"/>
      <w:spacing w:after="57"/>
    </w:pPr>
    <w:rPr>
      <w:rFonts w:hint="default" w:ascii="Times New Roman" w:hAnsi="Times New Roman" w:eastAsia="Arial" w:cs="Times New Roman"/>
      <w:sz w:val="21"/>
      <w:szCs w:val="22"/>
      <w:lang w:val="en-US" w:eastAsia="zh-CN" w:bidi="ar-SA"/>
    </w:rPr>
  </w:style>
  <w:style w:type="paragraph" w:styleId="761" w:customStyle="1">
    <w:name w:val="尾注文本1"/>
    <w:link w:val="762"/>
    <w:uiPriority w:val="99"/>
    <w:unhideWhenUsed/>
    <w:qFormat/>
    <w:rPr>
      <w:rFonts w:hint="default" w:ascii="Times New Roman" w:hAnsi="Times New Roman" w:eastAsia="Arial" w:cs="Times New Roman"/>
      <w:szCs w:val="22"/>
      <w:lang w:val="en-US" w:eastAsia="zh-CN" w:bidi="ar-SA"/>
    </w:rPr>
  </w:style>
  <w:style w:type="character" w:styleId="762" w:customStyle="1">
    <w:name w:val="尾注文本 Char"/>
    <w:link w:val="761"/>
    <w:uiPriority w:val="99"/>
    <w:qFormat/>
    <w:rPr>
      <w:sz w:val="20"/>
    </w:rPr>
  </w:style>
  <w:style w:type="paragraph" w:styleId="763" w:customStyle="1">
    <w:name w:val="批注框文本1"/>
    <w:basedOn w:val="676"/>
    <w:link w:val="764"/>
    <w:uiPriority w:val="99"/>
    <w:unhideWhenUsed/>
    <w:qFormat/>
    <w:rPr>
      <w:sz w:val="18"/>
      <w:szCs w:val="18"/>
    </w:rPr>
  </w:style>
  <w:style w:type="character" w:styleId="764" w:customStyle="1">
    <w:name w:val="批注框文本 Char"/>
    <w:link w:val="763"/>
    <w:uiPriority w:val="99"/>
    <w:semiHidden/>
    <w:qFormat/>
    <w:rPr>
      <w:rFonts w:eastAsia="Arial"/>
      <w:sz w:val="18"/>
      <w:szCs w:val="18"/>
    </w:rPr>
  </w:style>
  <w:style w:type="paragraph" w:styleId="765" w:customStyle="1">
    <w:name w:val="页脚11"/>
    <w:link w:val="785"/>
    <w:uiPriority w:val="99"/>
    <w:unhideWhenUsed/>
    <w:qFormat/>
    <w:pPr>
      <w:tabs>
        <w:tab w:val="center" w:pos="7143" w:leader="none"/>
        <w:tab w:val="right" w:pos="14287" w:leader="none"/>
      </w:tabs>
    </w:pPr>
    <w:rPr>
      <w:rFonts w:hint="default" w:ascii="Times New Roman" w:hAnsi="Times New Roman" w:eastAsia="Arial" w:cs="Times New Roman"/>
      <w:sz w:val="21"/>
      <w:szCs w:val="22"/>
      <w:lang w:val="en-US" w:eastAsia="zh-CN" w:bidi="ar-SA"/>
    </w:rPr>
  </w:style>
  <w:style w:type="character" w:styleId="766" w:customStyle="1">
    <w:name w:val="页脚 Char"/>
    <w:link w:val="765"/>
    <w:uiPriority w:val="99"/>
    <w:qFormat/>
  </w:style>
  <w:style w:type="paragraph" w:styleId="767" w:customStyle="1">
    <w:name w:val="页眉1"/>
    <w:basedOn w:val="676"/>
    <w:link w:val="768"/>
    <w:uiPriority w:val="99"/>
    <w:unhideWhenUsed/>
    <w:qFormat/>
    <w:pPr>
      <w:tabs>
        <w:tab w:val="center" w:pos="7143" w:leader="none"/>
        <w:tab w:val="right" w:pos="14287" w:leader="none"/>
      </w:tabs>
    </w:pPr>
  </w:style>
  <w:style w:type="character" w:styleId="768" w:customStyle="1">
    <w:name w:val="页眉 Char"/>
    <w:link w:val="767"/>
    <w:uiPriority w:val="99"/>
    <w:qFormat/>
  </w:style>
  <w:style w:type="paragraph" w:styleId="769" w:customStyle="1">
    <w:name w:val="目录 11"/>
    <w:next w:val="676"/>
    <w:uiPriority w:val="39"/>
    <w:unhideWhenUsed/>
    <w:qFormat/>
    <w:pPr>
      <w:spacing w:after="57"/>
    </w:pPr>
    <w:rPr>
      <w:rFonts w:hint="default" w:ascii="Times New Roman" w:hAnsi="Times New Roman" w:eastAsia="Arial" w:cs="Times New Roman"/>
      <w:sz w:val="21"/>
      <w:szCs w:val="22"/>
      <w:lang w:val="en-US" w:eastAsia="zh-CN" w:bidi="ar-SA"/>
    </w:rPr>
  </w:style>
  <w:style w:type="paragraph" w:styleId="770" w:customStyle="1">
    <w:name w:val="目录 41"/>
    <w:next w:val="676"/>
    <w:uiPriority w:val="39"/>
    <w:unhideWhenUsed/>
    <w:qFormat/>
    <w:pPr>
      <w:ind w:left="850"/>
      <w:spacing w:after="57"/>
    </w:pPr>
    <w:rPr>
      <w:rFonts w:hint="default" w:ascii="Times New Roman" w:hAnsi="Times New Roman" w:eastAsia="Arial" w:cs="Times New Roman"/>
      <w:sz w:val="21"/>
      <w:szCs w:val="22"/>
      <w:lang w:val="en-US" w:eastAsia="zh-CN" w:bidi="ar-SA"/>
    </w:rPr>
  </w:style>
  <w:style w:type="paragraph" w:styleId="771" w:customStyle="1">
    <w:name w:val="副标题1"/>
    <w:link w:val="772"/>
    <w:uiPriority w:val="11"/>
    <w:qFormat/>
    <w:pPr>
      <w:spacing w:before="200" w:after="200"/>
    </w:pPr>
    <w:rPr>
      <w:rFonts w:hint="default" w:ascii="Times New Roman" w:hAnsi="Times New Roman" w:eastAsia="Arial" w:cs="Times New Roman"/>
      <w:sz w:val="24"/>
      <w:szCs w:val="24"/>
      <w:lang w:val="en-US" w:eastAsia="zh-CN" w:bidi="ar-SA"/>
    </w:rPr>
  </w:style>
  <w:style w:type="character" w:styleId="772" w:customStyle="1">
    <w:name w:val="副标题 Char"/>
    <w:link w:val="771"/>
    <w:uiPriority w:val="11"/>
    <w:qFormat/>
    <w:rPr>
      <w:sz w:val="24"/>
      <w:szCs w:val="24"/>
    </w:rPr>
  </w:style>
  <w:style w:type="paragraph" w:styleId="773" w:customStyle="1">
    <w:name w:val="脚注文本1"/>
    <w:link w:val="774"/>
    <w:uiPriority w:val="99"/>
    <w:unhideWhenUsed/>
    <w:qFormat/>
    <w:pPr>
      <w:spacing w:after="40"/>
    </w:pPr>
    <w:rPr>
      <w:rFonts w:hint="default" w:ascii="Times New Roman" w:hAnsi="Times New Roman" w:eastAsia="Arial" w:cs="Times New Roman"/>
      <w:sz w:val="18"/>
      <w:szCs w:val="22"/>
      <w:lang w:val="en-US" w:eastAsia="zh-CN" w:bidi="ar-SA"/>
    </w:rPr>
  </w:style>
  <w:style w:type="character" w:styleId="774" w:customStyle="1">
    <w:name w:val="脚注文本 Char"/>
    <w:link w:val="773"/>
    <w:uiPriority w:val="99"/>
    <w:qFormat/>
    <w:rPr>
      <w:sz w:val="18"/>
    </w:rPr>
  </w:style>
  <w:style w:type="paragraph" w:styleId="775" w:customStyle="1">
    <w:name w:val="目录 61"/>
    <w:next w:val="676"/>
    <w:uiPriority w:val="39"/>
    <w:unhideWhenUsed/>
    <w:qFormat/>
    <w:pPr>
      <w:ind w:left="1417"/>
      <w:spacing w:after="57"/>
    </w:pPr>
    <w:rPr>
      <w:rFonts w:hint="default" w:ascii="Times New Roman" w:hAnsi="Times New Roman" w:eastAsia="Arial" w:cs="Times New Roman"/>
      <w:sz w:val="21"/>
      <w:szCs w:val="22"/>
      <w:lang w:val="en-US" w:eastAsia="zh-CN" w:bidi="ar-SA"/>
    </w:rPr>
  </w:style>
  <w:style w:type="paragraph" w:styleId="776" w:customStyle="1">
    <w:name w:val="图表目录1"/>
    <w:next w:val="676"/>
    <w:uiPriority w:val="99"/>
    <w:unhideWhenUsed/>
    <w:qFormat/>
    <w:rPr>
      <w:rFonts w:hint="default" w:ascii="Times New Roman" w:hAnsi="Times New Roman" w:eastAsia="Arial" w:cs="Times New Roman"/>
      <w:sz w:val="21"/>
      <w:szCs w:val="22"/>
      <w:lang w:val="en-US" w:eastAsia="zh-CN" w:bidi="ar-SA"/>
    </w:rPr>
  </w:style>
  <w:style w:type="paragraph" w:styleId="777" w:customStyle="1">
    <w:name w:val="目录 21"/>
    <w:next w:val="676"/>
    <w:uiPriority w:val="39"/>
    <w:unhideWhenUsed/>
    <w:qFormat/>
    <w:pPr>
      <w:ind w:left="283"/>
      <w:spacing w:after="57"/>
    </w:pPr>
    <w:rPr>
      <w:rFonts w:hint="default" w:ascii="Times New Roman" w:hAnsi="Times New Roman" w:eastAsia="Arial" w:cs="Times New Roman"/>
      <w:sz w:val="21"/>
      <w:szCs w:val="22"/>
      <w:lang w:val="en-US" w:eastAsia="zh-CN" w:bidi="ar-SA"/>
    </w:rPr>
  </w:style>
  <w:style w:type="paragraph" w:styleId="778" w:customStyle="1">
    <w:name w:val="目录 91"/>
    <w:next w:val="676"/>
    <w:uiPriority w:val="39"/>
    <w:unhideWhenUsed/>
    <w:qFormat/>
    <w:pPr>
      <w:ind w:left="2268"/>
      <w:spacing w:after="57"/>
    </w:pPr>
    <w:rPr>
      <w:rFonts w:hint="default" w:ascii="Times New Roman" w:hAnsi="Times New Roman" w:eastAsia="Arial" w:cs="Times New Roman"/>
      <w:sz w:val="21"/>
      <w:szCs w:val="22"/>
      <w:lang w:val="en-US" w:eastAsia="zh-CN" w:bidi="ar-SA"/>
    </w:rPr>
  </w:style>
  <w:style w:type="paragraph" w:styleId="779" w:customStyle="1">
    <w:name w:val="标题1"/>
    <w:basedOn w:val="676"/>
    <w:next w:val="676"/>
    <w:link w:val="780"/>
    <w:uiPriority w:val="10"/>
    <w:qFormat/>
    <w:pPr>
      <w:contextualSpacing/>
      <w:spacing w:before="300" w:after="200"/>
    </w:pPr>
    <w:rPr>
      <w:sz w:val="48"/>
      <w:szCs w:val="48"/>
    </w:rPr>
  </w:style>
  <w:style w:type="character" w:styleId="780" w:customStyle="1">
    <w:name w:val="标题 Char"/>
    <w:link w:val="779"/>
    <w:uiPriority w:val="10"/>
    <w:qFormat/>
    <w:rPr>
      <w:sz w:val="48"/>
      <w:szCs w:val="48"/>
    </w:rPr>
  </w:style>
  <w:style w:type="table" w:styleId="781" w:customStyle="1">
    <w:name w:val="网格型1"/>
    <w:uiPriority w:val="59"/>
    <w:qFormat/>
    <w:rPr>
      <w:lang w:val="en-US" w:eastAsia="zh-CN" w:bidi="ar-SA"/>
    </w:rPr>
    <w:tblPr/>
  </w:style>
  <w:style w:type="character" w:styleId="782" w:customStyle="1">
    <w:name w:val="尾注引用1"/>
    <w:link w:val="676"/>
    <w:uiPriority w:val="99"/>
    <w:unhideWhenUsed/>
    <w:qFormat/>
    <w:rPr>
      <w:vertAlign w:val="superscript"/>
    </w:rPr>
  </w:style>
  <w:style w:type="character" w:styleId="783" w:customStyle="1">
    <w:name w:val="超链接1"/>
    <w:link w:val="676"/>
    <w:uiPriority w:val="99"/>
    <w:unhideWhenUsed/>
    <w:qFormat/>
    <w:rPr>
      <w:color w:val="0000ff"/>
      <w:u w:val="single"/>
    </w:rPr>
  </w:style>
  <w:style w:type="character" w:styleId="784" w:customStyle="1">
    <w:name w:val="脚注引用1"/>
    <w:link w:val="676"/>
    <w:uiPriority w:val="99"/>
    <w:unhideWhenUsed/>
    <w:qFormat/>
    <w:rPr>
      <w:vertAlign w:val="superscript"/>
    </w:rPr>
  </w:style>
  <w:style w:type="character" w:styleId="785" w:customStyle="1">
    <w:name w:val="页脚 字符"/>
    <w:link w:val="765"/>
    <w:uiPriority w:val="99"/>
    <w:qFormat/>
  </w:style>
  <w:style w:type="paragraph" w:styleId="786" w:customStyle="1">
    <w:name w:val="正文文本11"/>
    <w:basedOn w:val="676"/>
    <w:next w:val="676"/>
    <w:uiPriority w:val="0"/>
    <w:qFormat/>
    <w:pPr>
      <w:ind w:left="118"/>
      <w:spacing w:before="34"/>
    </w:pPr>
    <w:rPr>
      <w:rFonts w:ascii="宋体" w:hAnsi="宋体" w:eastAsia="宋体"/>
      <w:sz w:val="24"/>
      <w:szCs w:val="24"/>
    </w:rPr>
  </w:style>
  <w:style w:type="paragraph" w:styleId="787" w:customStyle="1">
    <w:name w:val="正文首行缩进 21"/>
    <w:basedOn w:val="788"/>
    <w:next w:val="676"/>
    <w:uiPriority w:val="0"/>
    <w:qFormat/>
    <w:pPr>
      <w:ind w:firstLine="420"/>
      <w:spacing w:line="360" w:lineRule="auto"/>
    </w:pPr>
    <w:rPr>
      <w:szCs w:val="20"/>
    </w:rPr>
  </w:style>
  <w:style w:type="paragraph" w:styleId="788" w:customStyle="1">
    <w:name w:val="正文文本缩进1"/>
    <w:basedOn w:val="676"/>
    <w:next w:val="789"/>
    <w:uiPriority w:val="0"/>
    <w:qFormat/>
    <w:pPr>
      <w:ind w:firstLine="403"/>
      <w:spacing w:line="440" w:lineRule="exact"/>
    </w:pPr>
    <w:rPr>
      <w:rFonts w:ascii="宋体" w:hAnsi="宋体" w:eastAsia="宋体"/>
      <w:sz w:val="20"/>
      <w:szCs w:val="21"/>
    </w:rPr>
  </w:style>
  <w:style w:type="paragraph" w:styleId="789" w:customStyle="1">
    <w:name w:val="寄信人地址1"/>
    <w:basedOn w:val="676"/>
    <w:uiPriority w:val="0"/>
    <w:qFormat/>
  </w:style>
  <w:style w:type="paragraph" w:styleId="790" w:customStyle="1">
    <w:name w:val="列出段落"/>
    <w:basedOn w:val="676"/>
    <w:next w:val="755"/>
    <w:uiPriority w:val="34"/>
    <w:qFormat/>
    <w:pPr>
      <w:contextualSpacing/>
      <w:ind w:left="720"/>
    </w:pPr>
    <w:rPr>
      <w:rFonts w:eastAsia="Arial"/>
      <w:sz w:val="21"/>
      <w:szCs w:val="22"/>
      <w:lang w:val="en-US" w:eastAsia="zh-CN" w:bidi="ar-SA"/>
    </w:rPr>
  </w:style>
  <w:style w:type="paragraph" w:styleId="791" w:customStyle="1">
    <w:name w:val="无间隔"/>
    <w:uiPriority w:val="1"/>
    <w:qFormat/>
    <w:rPr>
      <w:rFonts w:hint="default" w:ascii="Times New Roman" w:hAnsi="Times New Roman" w:eastAsia="Arial" w:cs="Times New Roman"/>
      <w:sz w:val="21"/>
      <w:szCs w:val="22"/>
      <w:lang w:val="en-US" w:eastAsia="zh-CN" w:bidi="ar-SA"/>
    </w:rPr>
  </w:style>
  <w:style w:type="paragraph" w:styleId="792" w:customStyle="1">
    <w:name w:val="引用"/>
    <w:link w:val="793"/>
    <w:uiPriority w:val="29"/>
    <w:qFormat/>
    <w:pPr>
      <w:ind w:left="720" w:right="720"/>
    </w:pPr>
    <w:rPr>
      <w:rFonts w:hint="default" w:ascii="Times New Roman" w:hAnsi="Times New Roman" w:eastAsia="Arial" w:cs="Times New Roman"/>
      <w:i/>
      <w:sz w:val="21"/>
      <w:szCs w:val="22"/>
      <w:lang w:val="en-US" w:eastAsia="zh-CN" w:bidi="ar-SA"/>
    </w:rPr>
  </w:style>
  <w:style w:type="character" w:styleId="793" w:customStyle="1">
    <w:name w:val="引用 Char"/>
    <w:link w:val="792"/>
    <w:uiPriority w:val="29"/>
    <w:qFormat/>
    <w:rPr>
      <w:i/>
    </w:rPr>
  </w:style>
  <w:style w:type="paragraph" w:styleId="794" w:customStyle="1">
    <w:name w:val="明显引用"/>
    <w:link w:val="79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Arial" w:cs="Times New Roman"/>
      <w:i/>
      <w:sz w:val="21"/>
      <w:szCs w:val="22"/>
      <w:lang w:val="en-US" w:eastAsia="zh-CN" w:bidi="ar-SA"/>
    </w:rPr>
  </w:style>
  <w:style w:type="character" w:styleId="795" w:customStyle="1">
    <w:name w:val="明显引用 Char"/>
    <w:link w:val="794"/>
    <w:uiPriority w:val="30"/>
    <w:qFormat/>
    <w:rPr>
      <w:i/>
    </w:rPr>
  </w:style>
  <w:style w:type="table" w:styleId="796" w:customStyle="1">
    <w:name w:val="Table Grid Light"/>
    <w:uiPriority w:val="59"/>
    <w:qFormat/>
    <w:rPr>
      <w:lang w:val="en-US" w:eastAsia="zh-CN" w:bidi="ar-SA"/>
    </w:rPr>
    <w:tblPr/>
  </w:style>
  <w:style w:type="table" w:styleId="797" w:customStyle="1">
    <w:name w:val="Plain Table 1"/>
    <w:uiPriority w:val="59"/>
    <w:qFormat/>
    <w:rPr>
      <w:lang w:val="en-US" w:eastAsia="zh-CN" w:bidi="ar-SA"/>
    </w:rPr>
    <w:tblPr/>
  </w:style>
  <w:style w:type="table" w:styleId="798" w:customStyle="1">
    <w:name w:val="Plain Table 2"/>
    <w:uiPriority w:val="59"/>
    <w:qFormat/>
    <w:rPr>
      <w:lang w:val="en-US" w:eastAsia="zh-CN" w:bidi="ar-SA"/>
    </w:rPr>
    <w:tblPr/>
  </w:style>
  <w:style w:type="table" w:styleId="799" w:customStyle="1">
    <w:name w:val="Plain Table 3"/>
    <w:uiPriority w:val="99"/>
    <w:qFormat/>
    <w:rPr>
      <w:lang w:val="en-US" w:eastAsia="zh-CN" w:bidi="ar-SA"/>
    </w:rPr>
    <w:tblPr/>
  </w:style>
  <w:style w:type="table" w:styleId="800" w:customStyle="1">
    <w:name w:val="Plain Table 4"/>
    <w:uiPriority w:val="99"/>
    <w:qFormat/>
    <w:rPr>
      <w:lang w:val="en-US" w:eastAsia="zh-CN" w:bidi="ar-SA"/>
    </w:rPr>
    <w:tblPr/>
  </w:style>
  <w:style w:type="table" w:styleId="801" w:customStyle="1">
    <w:name w:val="Plain Table 5"/>
    <w:uiPriority w:val="99"/>
    <w:qFormat/>
    <w:rPr>
      <w:lang w:val="en-US" w:eastAsia="zh-CN" w:bidi="ar-SA"/>
    </w:rPr>
    <w:tblPr/>
  </w:style>
  <w:style w:type="table" w:styleId="802" w:customStyle="1">
    <w:name w:val="Grid Table 1 Light"/>
    <w:uiPriority w:val="99"/>
    <w:qFormat/>
    <w:rPr>
      <w:lang w:val="en-US" w:eastAsia="zh-CN" w:bidi="ar-SA"/>
    </w:rPr>
    <w:tblPr/>
  </w:style>
  <w:style w:type="table" w:styleId="803" w:customStyle="1">
    <w:name w:val="Grid Table 1 Light - Accent 1"/>
    <w:uiPriority w:val="99"/>
    <w:qFormat/>
    <w:rPr>
      <w:lang w:val="en-US" w:eastAsia="zh-CN" w:bidi="ar-SA"/>
    </w:rPr>
    <w:tblPr/>
  </w:style>
  <w:style w:type="table" w:styleId="804" w:customStyle="1">
    <w:name w:val="Grid Table 1 Light - Accent 2"/>
    <w:uiPriority w:val="99"/>
    <w:qFormat/>
    <w:rPr>
      <w:lang w:val="en-US" w:eastAsia="zh-CN" w:bidi="ar-SA"/>
    </w:rPr>
    <w:tblPr/>
  </w:style>
  <w:style w:type="table" w:styleId="805" w:customStyle="1">
    <w:name w:val="Grid Table 1 Light - Accent 3"/>
    <w:uiPriority w:val="99"/>
    <w:qFormat/>
    <w:rPr>
      <w:lang w:val="en-US" w:eastAsia="zh-CN" w:bidi="ar-SA"/>
    </w:rPr>
    <w:tblPr/>
  </w:style>
  <w:style w:type="table" w:styleId="806" w:customStyle="1">
    <w:name w:val="Grid Table 1 Light - Accent 4"/>
    <w:uiPriority w:val="99"/>
    <w:qFormat/>
    <w:rPr>
      <w:lang w:val="en-US" w:eastAsia="zh-CN" w:bidi="ar-SA"/>
    </w:rPr>
    <w:tblPr/>
  </w:style>
  <w:style w:type="table" w:styleId="807" w:customStyle="1">
    <w:name w:val="Grid Table 1 Light - Accent 5"/>
    <w:uiPriority w:val="99"/>
    <w:qFormat/>
    <w:rPr>
      <w:lang w:val="en-US" w:eastAsia="zh-CN" w:bidi="ar-SA"/>
    </w:rPr>
    <w:tblPr/>
  </w:style>
  <w:style w:type="table" w:styleId="808" w:customStyle="1">
    <w:name w:val="Grid Table 1 Light - Accent 6"/>
    <w:uiPriority w:val="99"/>
    <w:qFormat/>
    <w:rPr>
      <w:lang w:val="en-US" w:eastAsia="zh-CN" w:bidi="ar-SA"/>
    </w:rPr>
    <w:tblPr/>
  </w:style>
  <w:style w:type="table" w:styleId="809" w:customStyle="1">
    <w:name w:val="Grid Table 2"/>
    <w:uiPriority w:val="99"/>
    <w:qFormat/>
    <w:rPr>
      <w:lang w:val="en-US" w:eastAsia="zh-CN" w:bidi="ar-SA"/>
    </w:rPr>
    <w:tblPr/>
  </w:style>
  <w:style w:type="table" w:styleId="810" w:customStyle="1">
    <w:name w:val="Grid Table 2 - Accent 1"/>
    <w:uiPriority w:val="99"/>
    <w:qFormat/>
    <w:rPr>
      <w:lang w:val="en-US" w:eastAsia="zh-CN" w:bidi="ar-SA"/>
    </w:rPr>
    <w:tblPr/>
  </w:style>
  <w:style w:type="table" w:styleId="811" w:customStyle="1">
    <w:name w:val="Grid Table 2 - Accent 2"/>
    <w:uiPriority w:val="99"/>
    <w:qFormat/>
    <w:rPr>
      <w:lang w:val="en-US" w:eastAsia="zh-CN" w:bidi="ar-SA"/>
    </w:rPr>
    <w:tblPr/>
  </w:style>
  <w:style w:type="table" w:styleId="812" w:customStyle="1">
    <w:name w:val="Grid Table 2 - Accent 3"/>
    <w:uiPriority w:val="99"/>
    <w:qFormat/>
    <w:rPr>
      <w:lang w:val="en-US" w:eastAsia="zh-CN" w:bidi="ar-SA"/>
    </w:rPr>
    <w:tblPr/>
  </w:style>
  <w:style w:type="table" w:styleId="813" w:customStyle="1">
    <w:name w:val="Grid Table 2 - Accent 4"/>
    <w:uiPriority w:val="99"/>
    <w:qFormat/>
    <w:rPr>
      <w:lang w:val="en-US" w:eastAsia="zh-CN" w:bidi="ar-SA"/>
    </w:rPr>
    <w:tblPr/>
  </w:style>
  <w:style w:type="table" w:styleId="814" w:customStyle="1">
    <w:name w:val="Grid Table 2 - Accent 5"/>
    <w:uiPriority w:val="99"/>
    <w:qFormat/>
    <w:rPr>
      <w:lang w:val="en-US" w:eastAsia="zh-CN" w:bidi="ar-SA"/>
    </w:rPr>
    <w:tblPr/>
  </w:style>
  <w:style w:type="table" w:styleId="815" w:customStyle="1">
    <w:name w:val="Grid Table 2 - Accent 6"/>
    <w:uiPriority w:val="99"/>
    <w:qFormat/>
    <w:rPr>
      <w:lang w:val="en-US" w:eastAsia="zh-CN" w:bidi="ar-SA"/>
    </w:rPr>
    <w:tblPr/>
  </w:style>
  <w:style w:type="table" w:styleId="816" w:customStyle="1">
    <w:name w:val="Grid Table 3"/>
    <w:uiPriority w:val="99"/>
    <w:qFormat/>
    <w:rPr>
      <w:lang w:val="en-US" w:eastAsia="zh-CN" w:bidi="ar-SA"/>
    </w:rPr>
    <w:tblPr/>
  </w:style>
  <w:style w:type="table" w:styleId="817" w:customStyle="1">
    <w:name w:val="Grid Table 3 - Accent 1"/>
    <w:uiPriority w:val="99"/>
    <w:qFormat/>
    <w:rPr>
      <w:lang w:val="en-US" w:eastAsia="zh-CN" w:bidi="ar-SA"/>
    </w:rPr>
    <w:tblPr/>
  </w:style>
  <w:style w:type="table" w:styleId="818" w:customStyle="1">
    <w:name w:val="Grid Table 3 - Accent 2"/>
    <w:uiPriority w:val="99"/>
    <w:qFormat/>
    <w:rPr>
      <w:lang w:val="en-US" w:eastAsia="zh-CN" w:bidi="ar-SA"/>
    </w:rPr>
    <w:tblPr/>
  </w:style>
  <w:style w:type="table" w:styleId="819" w:customStyle="1">
    <w:name w:val="Grid Table 3 - Accent 3"/>
    <w:uiPriority w:val="99"/>
    <w:qFormat/>
    <w:rPr>
      <w:lang w:val="en-US" w:eastAsia="zh-CN" w:bidi="ar-SA"/>
    </w:rPr>
    <w:tblPr/>
  </w:style>
  <w:style w:type="table" w:styleId="820" w:customStyle="1">
    <w:name w:val="Grid Table 3 - Accent 4"/>
    <w:uiPriority w:val="99"/>
    <w:qFormat/>
    <w:rPr>
      <w:lang w:val="en-US" w:eastAsia="zh-CN" w:bidi="ar-SA"/>
    </w:rPr>
    <w:tblPr/>
  </w:style>
  <w:style w:type="table" w:styleId="821" w:customStyle="1">
    <w:name w:val="Grid Table 3 - Accent 5"/>
    <w:uiPriority w:val="99"/>
    <w:qFormat/>
    <w:rPr>
      <w:lang w:val="en-US" w:eastAsia="zh-CN" w:bidi="ar-SA"/>
    </w:rPr>
    <w:tblPr/>
  </w:style>
  <w:style w:type="table" w:styleId="822" w:customStyle="1">
    <w:name w:val="Grid Table 3 - Accent 6"/>
    <w:uiPriority w:val="99"/>
    <w:qFormat/>
    <w:rPr>
      <w:lang w:val="en-US" w:eastAsia="zh-CN" w:bidi="ar-SA"/>
    </w:rPr>
    <w:tblPr/>
  </w:style>
  <w:style w:type="table" w:styleId="823" w:customStyle="1">
    <w:name w:val="Grid Table 4"/>
    <w:uiPriority w:val="59"/>
    <w:qFormat/>
    <w:rPr>
      <w:lang w:val="en-US" w:eastAsia="zh-CN" w:bidi="ar-SA"/>
    </w:rPr>
    <w:tblPr/>
  </w:style>
  <w:style w:type="table" w:styleId="824" w:customStyle="1">
    <w:name w:val="Grid Table 4 - Accent 1"/>
    <w:uiPriority w:val="59"/>
    <w:qFormat/>
    <w:rPr>
      <w:lang w:val="en-US" w:eastAsia="zh-CN" w:bidi="ar-SA"/>
    </w:rPr>
    <w:tblPr/>
  </w:style>
  <w:style w:type="table" w:styleId="825" w:customStyle="1">
    <w:name w:val="Grid Table 4 - Accent 2"/>
    <w:uiPriority w:val="59"/>
    <w:qFormat/>
    <w:rPr>
      <w:lang w:val="en-US" w:eastAsia="zh-CN" w:bidi="ar-SA"/>
    </w:rPr>
    <w:tblPr/>
  </w:style>
  <w:style w:type="table" w:styleId="826" w:customStyle="1">
    <w:name w:val="Grid Table 4 - Accent 3"/>
    <w:uiPriority w:val="59"/>
    <w:qFormat/>
    <w:rPr>
      <w:lang w:val="en-US" w:eastAsia="zh-CN" w:bidi="ar-SA"/>
    </w:rPr>
    <w:tblPr/>
  </w:style>
  <w:style w:type="table" w:styleId="827" w:customStyle="1">
    <w:name w:val="Grid Table 4 - Accent 4"/>
    <w:uiPriority w:val="59"/>
    <w:qFormat/>
    <w:rPr>
      <w:lang w:val="en-US" w:eastAsia="zh-CN" w:bidi="ar-SA"/>
    </w:rPr>
    <w:tblPr/>
  </w:style>
  <w:style w:type="table" w:styleId="828" w:customStyle="1">
    <w:name w:val="Grid Table 4 - Accent 5"/>
    <w:uiPriority w:val="59"/>
    <w:qFormat/>
    <w:rPr>
      <w:lang w:val="en-US" w:eastAsia="zh-CN" w:bidi="ar-SA"/>
    </w:rPr>
    <w:tblPr/>
  </w:style>
  <w:style w:type="table" w:styleId="829" w:customStyle="1">
    <w:name w:val="Grid Table 4 - Accent 6"/>
    <w:uiPriority w:val="59"/>
    <w:qFormat/>
    <w:rPr>
      <w:lang w:val="en-US" w:eastAsia="zh-CN" w:bidi="ar-SA"/>
    </w:rPr>
    <w:tblPr/>
  </w:style>
  <w:style w:type="table" w:styleId="830" w:customStyle="1">
    <w:name w:val="Grid Table 5 Dark"/>
    <w:uiPriority w:val="99"/>
    <w:qFormat/>
    <w:rPr>
      <w:lang w:val="en-US" w:eastAsia="zh-CN" w:bidi="ar-SA"/>
    </w:rPr>
    <w:tblPr/>
  </w:style>
  <w:style w:type="table" w:styleId="831" w:customStyle="1">
    <w:name w:val="Grid Table 5 Dark- Accent 1"/>
    <w:uiPriority w:val="99"/>
    <w:qFormat/>
    <w:rPr>
      <w:lang w:val="en-US" w:eastAsia="zh-CN" w:bidi="ar-SA"/>
    </w:rPr>
    <w:tblPr/>
  </w:style>
  <w:style w:type="table" w:styleId="832" w:customStyle="1">
    <w:name w:val="Grid Table 5 Dark - Accent 2"/>
    <w:uiPriority w:val="99"/>
    <w:qFormat/>
    <w:rPr>
      <w:lang w:val="en-US" w:eastAsia="zh-CN" w:bidi="ar-SA"/>
    </w:rPr>
    <w:tblPr/>
  </w:style>
  <w:style w:type="table" w:styleId="833" w:customStyle="1">
    <w:name w:val="Grid Table 5 Dark - Accent 3"/>
    <w:uiPriority w:val="99"/>
    <w:qFormat/>
    <w:rPr>
      <w:lang w:val="en-US" w:eastAsia="zh-CN" w:bidi="ar-SA"/>
    </w:rPr>
    <w:tblPr/>
  </w:style>
  <w:style w:type="table" w:styleId="834" w:customStyle="1">
    <w:name w:val="Grid Table 5 Dark- Accent 4"/>
    <w:uiPriority w:val="99"/>
    <w:qFormat/>
    <w:rPr>
      <w:lang w:val="en-US" w:eastAsia="zh-CN" w:bidi="ar-SA"/>
    </w:rPr>
    <w:tblPr/>
  </w:style>
  <w:style w:type="table" w:styleId="835" w:customStyle="1">
    <w:name w:val="Grid Table 5 Dark - Accent 5"/>
    <w:uiPriority w:val="99"/>
    <w:qFormat/>
    <w:rPr>
      <w:lang w:val="en-US" w:eastAsia="zh-CN" w:bidi="ar-SA"/>
    </w:rPr>
    <w:tblPr/>
  </w:style>
  <w:style w:type="table" w:styleId="836" w:customStyle="1">
    <w:name w:val="Grid Table 5 Dark - Accent 6"/>
    <w:uiPriority w:val="99"/>
    <w:qFormat/>
    <w:rPr>
      <w:lang w:val="en-US" w:eastAsia="zh-CN" w:bidi="ar-SA"/>
    </w:rPr>
    <w:tblPr/>
  </w:style>
  <w:style w:type="table" w:styleId="837" w:customStyle="1">
    <w:name w:val="Grid Table 6 Colorful"/>
    <w:uiPriority w:val="99"/>
    <w:qFormat/>
    <w:rPr>
      <w:lang w:val="en-US" w:eastAsia="zh-CN" w:bidi="ar-SA"/>
    </w:rPr>
    <w:tblPr/>
  </w:style>
  <w:style w:type="table" w:styleId="838" w:customStyle="1">
    <w:name w:val="Grid Table 6 Colorful - Accent 1"/>
    <w:uiPriority w:val="99"/>
    <w:qFormat/>
    <w:rPr>
      <w:lang w:val="en-US" w:eastAsia="zh-CN" w:bidi="ar-SA"/>
    </w:rPr>
    <w:tblPr/>
  </w:style>
  <w:style w:type="table" w:styleId="839" w:customStyle="1">
    <w:name w:val="Grid Table 6 Colorful - Accent 2"/>
    <w:uiPriority w:val="99"/>
    <w:qFormat/>
    <w:rPr>
      <w:lang w:val="en-US" w:eastAsia="zh-CN" w:bidi="ar-SA"/>
    </w:rPr>
    <w:tblPr/>
  </w:style>
  <w:style w:type="table" w:styleId="840" w:customStyle="1">
    <w:name w:val="Grid Table 6 Colorful - Accent 3"/>
    <w:uiPriority w:val="99"/>
    <w:qFormat/>
    <w:rPr>
      <w:lang w:val="en-US" w:eastAsia="zh-CN" w:bidi="ar-SA"/>
    </w:rPr>
    <w:tblPr/>
  </w:style>
  <w:style w:type="table" w:styleId="841" w:customStyle="1">
    <w:name w:val="Grid Table 6 Colorful - Accent 4"/>
    <w:uiPriority w:val="99"/>
    <w:qFormat/>
    <w:rPr>
      <w:lang w:val="en-US" w:eastAsia="zh-CN" w:bidi="ar-SA"/>
    </w:rPr>
    <w:tblPr/>
  </w:style>
  <w:style w:type="table" w:styleId="842" w:customStyle="1">
    <w:name w:val="Grid Table 6 Colorful - Accent 5"/>
    <w:uiPriority w:val="99"/>
    <w:qFormat/>
    <w:rPr>
      <w:lang w:val="en-US" w:eastAsia="zh-CN" w:bidi="ar-SA"/>
    </w:rPr>
    <w:tblPr/>
  </w:style>
  <w:style w:type="table" w:styleId="843" w:customStyle="1">
    <w:name w:val="Grid Table 6 Colorful - Accent 6"/>
    <w:uiPriority w:val="99"/>
    <w:qFormat/>
    <w:rPr>
      <w:lang w:val="en-US" w:eastAsia="zh-CN" w:bidi="ar-SA"/>
    </w:rPr>
    <w:tblPr/>
  </w:style>
  <w:style w:type="table" w:styleId="844" w:customStyle="1">
    <w:name w:val="Grid Table 7 Colorful"/>
    <w:uiPriority w:val="99"/>
    <w:qFormat/>
    <w:rPr>
      <w:lang w:val="en-US" w:eastAsia="zh-CN" w:bidi="ar-SA"/>
    </w:rPr>
    <w:tblPr/>
  </w:style>
  <w:style w:type="table" w:styleId="845" w:customStyle="1">
    <w:name w:val="Grid Table 7 Colorful - Accent 1"/>
    <w:uiPriority w:val="99"/>
    <w:qFormat/>
    <w:rPr>
      <w:lang w:val="en-US" w:eastAsia="zh-CN" w:bidi="ar-SA"/>
    </w:rPr>
    <w:tblPr/>
  </w:style>
  <w:style w:type="table" w:styleId="846" w:customStyle="1">
    <w:name w:val="Grid Table 7 Colorful - Accent 2"/>
    <w:uiPriority w:val="99"/>
    <w:qFormat/>
    <w:rPr>
      <w:lang w:val="en-US" w:eastAsia="zh-CN" w:bidi="ar-SA"/>
    </w:rPr>
    <w:tblPr/>
  </w:style>
  <w:style w:type="table" w:styleId="847" w:customStyle="1">
    <w:name w:val="Grid Table 7 Colorful - Accent 3"/>
    <w:uiPriority w:val="99"/>
    <w:qFormat/>
    <w:rPr>
      <w:lang w:val="en-US" w:eastAsia="zh-CN" w:bidi="ar-SA"/>
    </w:rPr>
    <w:tblPr/>
  </w:style>
  <w:style w:type="table" w:styleId="848" w:customStyle="1">
    <w:name w:val="Grid Table 7 Colorful - Accent 4"/>
    <w:uiPriority w:val="99"/>
    <w:qFormat/>
    <w:rPr>
      <w:lang w:val="en-US" w:eastAsia="zh-CN" w:bidi="ar-SA"/>
    </w:rPr>
    <w:tblPr/>
  </w:style>
  <w:style w:type="table" w:styleId="849" w:customStyle="1">
    <w:name w:val="Grid Table 7 Colorful - Accent 5"/>
    <w:uiPriority w:val="99"/>
    <w:qFormat/>
    <w:rPr>
      <w:lang w:val="en-US" w:eastAsia="zh-CN" w:bidi="ar-SA"/>
    </w:rPr>
    <w:tblPr/>
  </w:style>
  <w:style w:type="table" w:styleId="850" w:customStyle="1">
    <w:name w:val="Grid Table 7 Colorful - Accent 6"/>
    <w:uiPriority w:val="99"/>
    <w:qFormat/>
    <w:rPr>
      <w:lang w:val="en-US" w:eastAsia="zh-CN" w:bidi="ar-SA"/>
    </w:rPr>
    <w:tblPr/>
  </w:style>
  <w:style w:type="table" w:styleId="851" w:customStyle="1">
    <w:name w:val="List Table 1 Light"/>
    <w:uiPriority w:val="99"/>
    <w:qFormat/>
    <w:rPr>
      <w:lang w:val="en-US" w:eastAsia="zh-CN" w:bidi="ar-SA"/>
    </w:rPr>
    <w:tblPr/>
  </w:style>
  <w:style w:type="table" w:styleId="852" w:customStyle="1">
    <w:name w:val="List Table 1 Light - Accent 1"/>
    <w:uiPriority w:val="99"/>
    <w:qFormat/>
    <w:rPr>
      <w:lang w:val="en-US" w:eastAsia="zh-CN" w:bidi="ar-SA"/>
    </w:rPr>
    <w:tblPr/>
  </w:style>
  <w:style w:type="table" w:styleId="853" w:customStyle="1">
    <w:name w:val="List Table 1 Light - Accent 2"/>
    <w:uiPriority w:val="99"/>
    <w:qFormat/>
    <w:rPr>
      <w:lang w:val="en-US" w:eastAsia="zh-CN" w:bidi="ar-SA"/>
    </w:rPr>
    <w:tblPr/>
  </w:style>
  <w:style w:type="table" w:styleId="854" w:customStyle="1">
    <w:name w:val="List Table 1 Light - Accent 3"/>
    <w:uiPriority w:val="99"/>
    <w:qFormat/>
    <w:rPr>
      <w:lang w:val="en-US" w:eastAsia="zh-CN" w:bidi="ar-SA"/>
    </w:rPr>
    <w:tblPr/>
  </w:style>
  <w:style w:type="table" w:styleId="855" w:customStyle="1">
    <w:name w:val="List Table 1 Light - Accent 4"/>
    <w:uiPriority w:val="99"/>
    <w:qFormat/>
    <w:rPr>
      <w:lang w:val="en-US" w:eastAsia="zh-CN" w:bidi="ar-SA"/>
    </w:rPr>
    <w:tblPr/>
  </w:style>
  <w:style w:type="table" w:styleId="856" w:customStyle="1">
    <w:name w:val="List Table 1 Light - Accent 5"/>
    <w:uiPriority w:val="99"/>
    <w:qFormat/>
    <w:rPr>
      <w:lang w:val="en-US" w:eastAsia="zh-CN" w:bidi="ar-SA"/>
    </w:rPr>
    <w:tblPr/>
  </w:style>
  <w:style w:type="table" w:styleId="857" w:customStyle="1">
    <w:name w:val="List Table 1 Light - Accent 6"/>
    <w:uiPriority w:val="99"/>
    <w:qFormat/>
    <w:rPr>
      <w:lang w:val="en-US" w:eastAsia="zh-CN" w:bidi="ar-SA"/>
    </w:rPr>
    <w:tblPr/>
  </w:style>
  <w:style w:type="table" w:styleId="858" w:customStyle="1">
    <w:name w:val="List Table 2"/>
    <w:uiPriority w:val="99"/>
    <w:qFormat/>
    <w:rPr>
      <w:lang w:val="en-US" w:eastAsia="zh-CN" w:bidi="ar-SA"/>
    </w:rPr>
    <w:tblPr/>
  </w:style>
  <w:style w:type="table" w:styleId="859" w:customStyle="1">
    <w:name w:val="List Table 2 - Accent 1"/>
    <w:uiPriority w:val="99"/>
    <w:qFormat/>
    <w:rPr>
      <w:lang w:val="en-US" w:eastAsia="zh-CN" w:bidi="ar-SA"/>
    </w:rPr>
    <w:tblPr/>
  </w:style>
  <w:style w:type="table" w:styleId="860" w:customStyle="1">
    <w:name w:val="List Table 2 - Accent 2"/>
    <w:uiPriority w:val="99"/>
    <w:qFormat/>
    <w:rPr>
      <w:lang w:val="en-US" w:eastAsia="zh-CN" w:bidi="ar-SA"/>
    </w:rPr>
    <w:tblPr/>
  </w:style>
  <w:style w:type="table" w:styleId="861" w:customStyle="1">
    <w:name w:val="List Table 2 - Accent 3"/>
    <w:uiPriority w:val="99"/>
    <w:qFormat/>
    <w:rPr>
      <w:lang w:val="en-US" w:eastAsia="zh-CN" w:bidi="ar-SA"/>
    </w:rPr>
    <w:tblPr/>
  </w:style>
  <w:style w:type="table" w:styleId="862" w:customStyle="1">
    <w:name w:val="List Table 2 - Accent 4"/>
    <w:uiPriority w:val="99"/>
    <w:qFormat/>
    <w:rPr>
      <w:lang w:val="en-US" w:eastAsia="zh-CN" w:bidi="ar-SA"/>
    </w:rPr>
    <w:tblPr/>
  </w:style>
  <w:style w:type="table" w:styleId="863" w:customStyle="1">
    <w:name w:val="List Table 2 - Accent 5"/>
    <w:uiPriority w:val="99"/>
    <w:qFormat/>
    <w:rPr>
      <w:lang w:val="en-US" w:eastAsia="zh-CN" w:bidi="ar-SA"/>
    </w:rPr>
    <w:tblPr/>
  </w:style>
  <w:style w:type="table" w:styleId="864" w:customStyle="1">
    <w:name w:val="List Table 2 - Accent 6"/>
    <w:uiPriority w:val="99"/>
    <w:qFormat/>
    <w:rPr>
      <w:lang w:val="en-US" w:eastAsia="zh-CN" w:bidi="ar-SA"/>
    </w:rPr>
    <w:tblPr/>
  </w:style>
  <w:style w:type="table" w:styleId="865" w:customStyle="1">
    <w:name w:val="List Table 3"/>
    <w:uiPriority w:val="99"/>
    <w:qFormat/>
    <w:rPr>
      <w:lang w:val="en-US" w:eastAsia="zh-CN" w:bidi="ar-SA"/>
    </w:rPr>
    <w:tblPr/>
  </w:style>
  <w:style w:type="table" w:styleId="866" w:customStyle="1">
    <w:name w:val="List Table 3 - Accent 1"/>
    <w:uiPriority w:val="99"/>
    <w:qFormat/>
    <w:rPr>
      <w:lang w:val="en-US" w:eastAsia="zh-CN" w:bidi="ar-SA"/>
    </w:rPr>
    <w:tblPr/>
  </w:style>
  <w:style w:type="table" w:styleId="867" w:customStyle="1">
    <w:name w:val="List Table 3 - Accent 2"/>
    <w:uiPriority w:val="99"/>
    <w:qFormat/>
    <w:rPr>
      <w:lang w:val="en-US" w:eastAsia="zh-CN" w:bidi="ar-SA"/>
    </w:rPr>
    <w:tblPr/>
  </w:style>
  <w:style w:type="table" w:styleId="868" w:customStyle="1">
    <w:name w:val="List Table 3 - Accent 3"/>
    <w:uiPriority w:val="99"/>
    <w:qFormat/>
    <w:rPr>
      <w:lang w:val="en-US" w:eastAsia="zh-CN" w:bidi="ar-SA"/>
    </w:rPr>
    <w:tblPr/>
  </w:style>
  <w:style w:type="table" w:styleId="869" w:customStyle="1">
    <w:name w:val="List Table 3 - Accent 4"/>
    <w:uiPriority w:val="99"/>
    <w:qFormat/>
    <w:rPr>
      <w:lang w:val="en-US" w:eastAsia="zh-CN" w:bidi="ar-SA"/>
    </w:rPr>
    <w:tblPr/>
  </w:style>
  <w:style w:type="table" w:styleId="870" w:customStyle="1">
    <w:name w:val="List Table 3 - Accent 5"/>
    <w:uiPriority w:val="99"/>
    <w:qFormat/>
    <w:rPr>
      <w:lang w:val="en-US" w:eastAsia="zh-CN" w:bidi="ar-SA"/>
    </w:rPr>
    <w:tblPr/>
  </w:style>
  <w:style w:type="table" w:styleId="871" w:customStyle="1">
    <w:name w:val="List Table 3 - Accent 6"/>
    <w:uiPriority w:val="99"/>
    <w:qFormat/>
    <w:rPr>
      <w:lang w:val="en-US" w:eastAsia="zh-CN" w:bidi="ar-SA"/>
    </w:rPr>
    <w:tblPr/>
  </w:style>
  <w:style w:type="table" w:styleId="872" w:customStyle="1">
    <w:name w:val="List Table 4"/>
    <w:uiPriority w:val="99"/>
    <w:qFormat/>
    <w:rPr>
      <w:lang w:val="en-US" w:eastAsia="zh-CN" w:bidi="ar-SA"/>
    </w:rPr>
    <w:tblPr/>
  </w:style>
  <w:style w:type="table" w:styleId="873" w:customStyle="1">
    <w:name w:val="List Table 4 - Accent 1"/>
    <w:uiPriority w:val="99"/>
    <w:qFormat/>
    <w:rPr>
      <w:lang w:val="en-US" w:eastAsia="zh-CN" w:bidi="ar-SA"/>
    </w:rPr>
    <w:tblPr/>
  </w:style>
  <w:style w:type="table" w:styleId="874" w:customStyle="1">
    <w:name w:val="List Table 4 - Accent 2"/>
    <w:uiPriority w:val="99"/>
    <w:qFormat/>
    <w:rPr>
      <w:lang w:val="en-US" w:eastAsia="zh-CN" w:bidi="ar-SA"/>
    </w:rPr>
    <w:tblPr/>
  </w:style>
  <w:style w:type="table" w:styleId="875" w:customStyle="1">
    <w:name w:val="List Table 4 - Accent 3"/>
    <w:uiPriority w:val="99"/>
    <w:qFormat/>
    <w:rPr>
      <w:lang w:val="en-US" w:eastAsia="zh-CN" w:bidi="ar-SA"/>
    </w:rPr>
    <w:tblPr/>
  </w:style>
  <w:style w:type="table" w:styleId="876" w:customStyle="1">
    <w:name w:val="List Table 4 - Accent 4"/>
    <w:uiPriority w:val="99"/>
    <w:qFormat/>
    <w:rPr>
      <w:lang w:val="en-US" w:eastAsia="zh-CN" w:bidi="ar-SA"/>
    </w:rPr>
    <w:tblPr/>
  </w:style>
  <w:style w:type="table" w:styleId="877" w:customStyle="1">
    <w:name w:val="List Table 4 - Accent 5"/>
    <w:uiPriority w:val="99"/>
    <w:qFormat/>
    <w:rPr>
      <w:lang w:val="en-US" w:eastAsia="zh-CN" w:bidi="ar-SA"/>
    </w:rPr>
    <w:tblPr/>
  </w:style>
  <w:style w:type="table" w:styleId="878" w:customStyle="1">
    <w:name w:val="List Table 4 - Accent 6"/>
    <w:uiPriority w:val="99"/>
    <w:qFormat/>
    <w:rPr>
      <w:lang w:val="en-US" w:eastAsia="zh-CN" w:bidi="ar-SA"/>
    </w:rPr>
    <w:tblPr/>
  </w:style>
  <w:style w:type="table" w:styleId="879" w:customStyle="1">
    <w:name w:val="List Table 5 Dark"/>
    <w:uiPriority w:val="99"/>
    <w:qFormat/>
    <w:rPr>
      <w:lang w:val="en-US" w:eastAsia="zh-CN" w:bidi="ar-SA"/>
    </w:rPr>
    <w:tblPr/>
  </w:style>
  <w:style w:type="table" w:styleId="880" w:customStyle="1">
    <w:name w:val="List Table 5 Dark - Accent 1"/>
    <w:uiPriority w:val="99"/>
    <w:qFormat/>
    <w:rPr>
      <w:lang w:val="en-US" w:eastAsia="zh-CN" w:bidi="ar-SA"/>
    </w:rPr>
    <w:tblPr/>
  </w:style>
  <w:style w:type="table" w:styleId="881" w:customStyle="1">
    <w:name w:val="List Table 5 Dark - Accent 2"/>
    <w:uiPriority w:val="99"/>
    <w:qFormat/>
    <w:rPr>
      <w:lang w:val="en-US" w:eastAsia="zh-CN" w:bidi="ar-SA"/>
    </w:rPr>
    <w:tblPr/>
  </w:style>
  <w:style w:type="table" w:styleId="882" w:customStyle="1">
    <w:name w:val="List Table 5 Dark - Accent 3"/>
    <w:uiPriority w:val="99"/>
    <w:qFormat/>
    <w:rPr>
      <w:lang w:val="en-US" w:eastAsia="zh-CN" w:bidi="ar-SA"/>
    </w:rPr>
    <w:tblPr/>
  </w:style>
  <w:style w:type="table" w:styleId="883" w:customStyle="1">
    <w:name w:val="List Table 5 Dark - Accent 4"/>
    <w:uiPriority w:val="99"/>
    <w:qFormat/>
    <w:rPr>
      <w:lang w:val="en-US" w:eastAsia="zh-CN" w:bidi="ar-SA"/>
    </w:rPr>
    <w:tblPr/>
  </w:style>
  <w:style w:type="table" w:styleId="884" w:customStyle="1">
    <w:name w:val="List Table 5 Dark - Accent 5"/>
    <w:uiPriority w:val="99"/>
    <w:qFormat/>
    <w:rPr>
      <w:lang w:val="en-US" w:eastAsia="zh-CN" w:bidi="ar-SA"/>
    </w:rPr>
    <w:tblPr/>
  </w:style>
  <w:style w:type="table" w:styleId="885" w:customStyle="1">
    <w:name w:val="List Table 5 Dark - Accent 6"/>
    <w:uiPriority w:val="99"/>
    <w:qFormat/>
    <w:rPr>
      <w:lang w:val="en-US" w:eastAsia="zh-CN" w:bidi="ar-SA"/>
    </w:rPr>
    <w:tblPr/>
  </w:style>
  <w:style w:type="table" w:styleId="886" w:customStyle="1">
    <w:name w:val="List Table 6 Colorful"/>
    <w:uiPriority w:val="99"/>
    <w:qFormat/>
    <w:rPr>
      <w:lang w:val="en-US" w:eastAsia="zh-CN" w:bidi="ar-SA"/>
    </w:rPr>
    <w:tblPr/>
  </w:style>
  <w:style w:type="table" w:styleId="887" w:customStyle="1">
    <w:name w:val="List Table 6 Colorful - Accent 1"/>
    <w:uiPriority w:val="99"/>
    <w:qFormat/>
    <w:rPr>
      <w:lang w:val="en-US" w:eastAsia="zh-CN" w:bidi="ar-SA"/>
    </w:rPr>
    <w:tblPr/>
  </w:style>
  <w:style w:type="table" w:styleId="888" w:customStyle="1">
    <w:name w:val="List Table 6 Colorful - Accent 2"/>
    <w:uiPriority w:val="99"/>
    <w:qFormat/>
    <w:rPr>
      <w:lang w:val="en-US" w:eastAsia="zh-CN" w:bidi="ar-SA"/>
    </w:rPr>
    <w:tblPr/>
  </w:style>
  <w:style w:type="table" w:styleId="889" w:customStyle="1">
    <w:name w:val="List Table 6 Colorful - Accent 3"/>
    <w:uiPriority w:val="99"/>
    <w:qFormat/>
    <w:rPr>
      <w:lang w:val="en-US" w:eastAsia="zh-CN" w:bidi="ar-SA"/>
    </w:rPr>
    <w:tblPr/>
  </w:style>
  <w:style w:type="table" w:styleId="890" w:customStyle="1">
    <w:name w:val="List Table 6 Colorful - Accent 4"/>
    <w:uiPriority w:val="99"/>
    <w:qFormat/>
    <w:rPr>
      <w:lang w:val="en-US" w:eastAsia="zh-CN" w:bidi="ar-SA"/>
    </w:rPr>
    <w:tblPr/>
  </w:style>
  <w:style w:type="table" w:styleId="891" w:customStyle="1">
    <w:name w:val="List Table 6 Colorful - Accent 5"/>
    <w:uiPriority w:val="99"/>
    <w:qFormat/>
    <w:rPr>
      <w:lang w:val="en-US" w:eastAsia="zh-CN" w:bidi="ar-SA"/>
    </w:rPr>
    <w:tblPr/>
  </w:style>
  <w:style w:type="table" w:styleId="892" w:customStyle="1">
    <w:name w:val="List Table 6 Colorful - Accent 6"/>
    <w:uiPriority w:val="99"/>
    <w:qFormat/>
    <w:rPr>
      <w:lang w:val="en-US" w:eastAsia="zh-CN" w:bidi="ar-SA"/>
    </w:rPr>
    <w:tblPr/>
  </w:style>
  <w:style w:type="table" w:styleId="893" w:customStyle="1">
    <w:name w:val="List Table 7 Colorful"/>
    <w:uiPriority w:val="99"/>
    <w:qFormat/>
    <w:rPr>
      <w:lang w:val="en-US" w:eastAsia="zh-CN" w:bidi="ar-SA"/>
    </w:rPr>
    <w:tblPr/>
  </w:style>
  <w:style w:type="table" w:styleId="894" w:customStyle="1">
    <w:name w:val="List Table 7 Colorful - Accent 1"/>
    <w:uiPriority w:val="99"/>
    <w:qFormat/>
    <w:rPr>
      <w:lang w:val="en-US" w:eastAsia="zh-CN" w:bidi="ar-SA"/>
    </w:rPr>
    <w:tblPr/>
  </w:style>
  <w:style w:type="table" w:styleId="895" w:customStyle="1">
    <w:name w:val="List Table 7 Colorful - Accent 2"/>
    <w:uiPriority w:val="99"/>
    <w:qFormat/>
    <w:rPr>
      <w:lang w:val="en-US" w:eastAsia="zh-CN" w:bidi="ar-SA"/>
    </w:rPr>
    <w:tblPr/>
  </w:style>
  <w:style w:type="table" w:styleId="896" w:customStyle="1">
    <w:name w:val="List Table 7 Colorful - Accent 3"/>
    <w:uiPriority w:val="99"/>
    <w:qFormat/>
    <w:rPr>
      <w:lang w:val="en-US" w:eastAsia="zh-CN" w:bidi="ar-SA"/>
    </w:rPr>
    <w:tblPr/>
  </w:style>
  <w:style w:type="table" w:styleId="897" w:customStyle="1">
    <w:name w:val="List Table 7 Colorful - Accent 4"/>
    <w:uiPriority w:val="99"/>
    <w:qFormat/>
    <w:rPr>
      <w:lang w:val="en-US" w:eastAsia="zh-CN" w:bidi="ar-SA"/>
    </w:rPr>
    <w:tblPr/>
  </w:style>
  <w:style w:type="table" w:styleId="898" w:customStyle="1">
    <w:name w:val="List Table 7 Colorful - Accent 5"/>
    <w:uiPriority w:val="99"/>
    <w:qFormat/>
    <w:rPr>
      <w:lang w:val="en-US" w:eastAsia="zh-CN" w:bidi="ar-SA"/>
    </w:rPr>
    <w:tblPr/>
  </w:style>
  <w:style w:type="table" w:styleId="899" w:customStyle="1">
    <w:name w:val="List Table 7 Colorful - Accent 6"/>
    <w:uiPriority w:val="99"/>
    <w:qFormat/>
    <w:rPr>
      <w:lang w:val="en-US" w:eastAsia="zh-CN" w:bidi="ar-SA"/>
    </w:rPr>
    <w:tblPr/>
  </w:style>
  <w:style w:type="table" w:styleId="900" w:customStyle="1">
    <w:name w:val="Lined - Accent"/>
    <w:uiPriority w:val="99"/>
    <w:qFormat/>
    <w:rPr>
      <w:color w:val="404040"/>
      <w:lang w:val="en-US" w:eastAsia="zh-CN" w:bidi="ar-SA"/>
    </w:rPr>
    <w:tblPr/>
  </w:style>
  <w:style w:type="table" w:styleId="901" w:customStyle="1">
    <w:name w:val="Lined - Accent 1"/>
    <w:uiPriority w:val="99"/>
    <w:qFormat/>
    <w:rPr>
      <w:color w:val="404040"/>
      <w:lang w:val="en-US" w:eastAsia="zh-CN" w:bidi="ar-SA"/>
    </w:rPr>
    <w:tblPr/>
  </w:style>
  <w:style w:type="table" w:styleId="902" w:customStyle="1">
    <w:name w:val="Lined - Accent 2"/>
    <w:uiPriority w:val="99"/>
    <w:qFormat/>
    <w:rPr>
      <w:color w:val="404040"/>
      <w:lang w:val="en-US" w:eastAsia="zh-CN" w:bidi="ar-SA"/>
    </w:rPr>
    <w:tblPr/>
  </w:style>
  <w:style w:type="table" w:styleId="903" w:customStyle="1">
    <w:name w:val="Lined - Accent 3"/>
    <w:uiPriority w:val="99"/>
    <w:qFormat/>
    <w:rPr>
      <w:color w:val="404040"/>
      <w:lang w:val="en-US" w:eastAsia="zh-CN" w:bidi="ar-SA"/>
    </w:rPr>
    <w:tblPr/>
  </w:style>
  <w:style w:type="table" w:styleId="904" w:customStyle="1">
    <w:name w:val="Lined - Accent 4"/>
    <w:uiPriority w:val="99"/>
    <w:qFormat/>
    <w:rPr>
      <w:color w:val="404040"/>
      <w:lang w:val="en-US" w:eastAsia="zh-CN" w:bidi="ar-SA"/>
    </w:rPr>
    <w:tblPr/>
  </w:style>
  <w:style w:type="table" w:styleId="905" w:customStyle="1">
    <w:name w:val="Lined - Accent 5"/>
    <w:uiPriority w:val="99"/>
    <w:qFormat/>
    <w:rPr>
      <w:color w:val="404040"/>
      <w:lang w:val="en-US" w:eastAsia="zh-CN" w:bidi="ar-SA"/>
    </w:rPr>
    <w:tblPr/>
  </w:style>
  <w:style w:type="table" w:styleId="906" w:customStyle="1">
    <w:name w:val="Lined - Accent 6"/>
    <w:uiPriority w:val="99"/>
    <w:qFormat/>
    <w:rPr>
      <w:color w:val="404040"/>
      <w:lang w:val="en-US" w:eastAsia="zh-CN" w:bidi="ar-SA"/>
    </w:rPr>
    <w:tblPr/>
  </w:style>
  <w:style w:type="table" w:styleId="907" w:customStyle="1">
    <w:name w:val="Bordered &amp; Lined - Accent"/>
    <w:uiPriority w:val="99"/>
    <w:qFormat/>
    <w:rPr>
      <w:color w:val="404040"/>
      <w:lang w:val="en-US" w:eastAsia="zh-CN" w:bidi="ar-SA"/>
    </w:rPr>
    <w:tblPr/>
  </w:style>
  <w:style w:type="table" w:styleId="908" w:customStyle="1">
    <w:name w:val="Bordered &amp; Lined - Accent 1"/>
    <w:uiPriority w:val="99"/>
    <w:qFormat/>
    <w:rPr>
      <w:color w:val="404040"/>
      <w:lang w:val="en-US" w:eastAsia="zh-CN" w:bidi="ar-SA"/>
    </w:rPr>
    <w:tblPr/>
  </w:style>
  <w:style w:type="table" w:styleId="909" w:customStyle="1">
    <w:name w:val="Bordered &amp; Lined - Accent 2"/>
    <w:uiPriority w:val="99"/>
    <w:qFormat/>
    <w:rPr>
      <w:color w:val="404040"/>
      <w:lang w:val="en-US" w:eastAsia="zh-CN" w:bidi="ar-SA"/>
    </w:rPr>
    <w:tblPr/>
  </w:style>
  <w:style w:type="table" w:styleId="910" w:customStyle="1">
    <w:name w:val="Bordered &amp; Lined - Accent 3"/>
    <w:uiPriority w:val="99"/>
    <w:qFormat/>
    <w:rPr>
      <w:color w:val="404040"/>
      <w:lang w:val="en-US" w:eastAsia="zh-CN" w:bidi="ar-SA"/>
    </w:rPr>
    <w:tblPr/>
  </w:style>
  <w:style w:type="table" w:styleId="911" w:customStyle="1">
    <w:name w:val="Bordered &amp; Lined - Accent 4"/>
    <w:uiPriority w:val="99"/>
    <w:qFormat/>
    <w:rPr>
      <w:color w:val="404040"/>
      <w:lang w:val="en-US" w:eastAsia="zh-CN" w:bidi="ar-SA"/>
    </w:rPr>
    <w:tblPr/>
  </w:style>
  <w:style w:type="table" w:styleId="912" w:customStyle="1">
    <w:name w:val="Bordered &amp; Lined - Accent 5"/>
    <w:uiPriority w:val="99"/>
    <w:qFormat/>
    <w:rPr>
      <w:color w:val="404040"/>
      <w:lang w:val="en-US" w:eastAsia="zh-CN" w:bidi="ar-SA"/>
    </w:rPr>
    <w:tblPr/>
  </w:style>
  <w:style w:type="table" w:styleId="913" w:customStyle="1">
    <w:name w:val="Bordered &amp; Lined - Accent 6"/>
    <w:uiPriority w:val="99"/>
    <w:qFormat/>
    <w:rPr>
      <w:color w:val="404040"/>
      <w:lang w:val="en-US" w:eastAsia="zh-CN" w:bidi="ar-SA"/>
    </w:rPr>
    <w:tblPr/>
  </w:style>
  <w:style w:type="table" w:styleId="914" w:customStyle="1">
    <w:name w:val="Bordered"/>
    <w:uiPriority w:val="99"/>
    <w:qFormat/>
    <w:rPr>
      <w:lang w:val="en-US" w:eastAsia="zh-CN" w:bidi="ar-SA"/>
    </w:rPr>
    <w:tblPr/>
  </w:style>
  <w:style w:type="table" w:styleId="915" w:customStyle="1">
    <w:name w:val="Bordered - Accent 1"/>
    <w:uiPriority w:val="99"/>
    <w:qFormat/>
    <w:rPr>
      <w:lang w:val="en-US" w:eastAsia="zh-CN" w:bidi="ar-SA"/>
    </w:rPr>
    <w:tblPr/>
  </w:style>
  <w:style w:type="table" w:styleId="916" w:customStyle="1">
    <w:name w:val="Bordered - Accent 2"/>
    <w:uiPriority w:val="99"/>
    <w:qFormat/>
    <w:rPr>
      <w:lang w:val="en-US" w:eastAsia="zh-CN" w:bidi="ar-SA"/>
    </w:rPr>
    <w:tblPr/>
  </w:style>
  <w:style w:type="table" w:styleId="917" w:customStyle="1">
    <w:name w:val="Bordered - Accent 3"/>
    <w:uiPriority w:val="99"/>
    <w:qFormat/>
    <w:rPr>
      <w:lang w:val="en-US" w:eastAsia="zh-CN" w:bidi="ar-SA"/>
    </w:rPr>
    <w:tblPr/>
  </w:style>
  <w:style w:type="table" w:styleId="918" w:customStyle="1">
    <w:name w:val="Bordered - Accent 4"/>
    <w:uiPriority w:val="99"/>
    <w:qFormat/>
    <w:rPr>
      <w:lang w:val="en-US" w:eastAsia="zh-CN" w:bidi="ar-SA"/>
    </w:rPr>
    <w:tblPr/>
  </w:style>
  <w:style w:type="table" w:styleId="919" w:customStyle="1">
    <w:name w:val="Bordered - Accent 5"/>
    <w:uiPriority w:val="99"/>
    <w:qFormat/>
    <w:rPr>
      <w:lang w:val="en-US" w:eastAsia="zh-CN" w:bidi="ar-SA"/>
    </w:rPr>
    <w:tblPr/>
  </w:style>
  <w:style w:type="table" w:styleId="920" w:customStyle="1">
    <w:name w:val="Bordered - Accent 6"/>
    <w:uiPriority w:val="99"/>
    <w:qFormat/>
    <w:rPr>
      <w:lang w:val="en-US" w:eastAsia="zh-CN" w:bidi="ar-SA"/>
    </w:rPr>
    <w:tblPr/>
  </w:style>
  <w:style w:type="paragraph" w:styleId="921" w:customStyle="1">
    <w:name w:val="TOC Heading"/>
    <w:uiPriority w:val="39"/>
    <w:unhideWhenUsed/>
    <w:qFormat/>
    <w:rPr>
      <w:rFonts w:hint="default" w:ascii="Times New Roman" w:hAnsi="Times New Roman" w:eastAsia="Arial" w:cs="Times New Roman"/>
      <w:sz w:val="21"/>
      <w:szCs w:val="22"/>
      <w:lang w:val="en-US" w:eastAsia="zh-CN" w:bidi="ar-SA"/>
    </w:rPr>
  </w:style>
  <w:style w:type="paragraph" w:styleId="922" w:customStyle="1">
    <w:name w:val="纯文本1"/>
    <w:basedOn w:val="676"/>
    <w:uiPriority w:val="0"/>
    <w:qFormat/>
    <w:rPr>
      <w:rFonts w:ascii="宋体" w:hAnsi="Courier New" w:eastAsia="宋体"/>
      <w:sz w:val="28"/>
      <w:szCs w:val="28"/>
    </w:rPr>
  </w:style>
  <w:style w:type="paragraph" w:styleId="923" w:customStyle="1">
    <w:name w:val="索引 41"/>
    <w:basedOn w:val="676"/>
    <w:next w:val="676"/>
    <w:uiPriority w:val="99"/>
    <w:unhideWhenUsed/>
    <w:qFormat/>
    <w:pPr>
      <w:ind w:left="600"/>
    </w:pPr>
    <w:rPr>
      <w:rFonts w:ascii="Verdana" w:hAnsi="Verdana"/>
      <w:szCs w:val="20"/>
    </w:rPr>
  </w:style>
  <w:style w:type="paragraph" w:styleId="924" w:customStyle="1">
    <w:name w:val="首行缩进"/>
    <w:basedOn w:val="676"/>
    <w:uiPriority w:val="0"/>
    <w:qFormat/>
    <w:pPr>
      <w:ind w:firstLine="480"/>
      <w:spacing w:line="360" w:lineRule="auto"/>
    </w:pPr>
    <w:rPr>
      <w:rFonts w:ascii="宋体" w:hAnsi="宋体"/>
      <w:sz w:val="24"/>
      <w:szCs w:val="24"/>
    </w:rPr>
  </w:style>
  <w:style w:type="paragraph" w:styleId="925" w:customStyle="1">
    <w:name w:val="普通正文"/>
    <w:basedOn w:val="676"/>
    <w:uiPriority w:val="0"/>
    <w:qFormat/>
    <w:pPr>
      <w:ind w:firstLine="480"/>
      <w:jc w:val="left"/>
      <w:spacing w:before="120" w:after="120" w:line="360" w:lineRule="auto"/>
    </w:pPr>
    <w:rPr>
      <w:rFonts w:ascii="Arial" w:hAnsi="Arial"/>
      <w:sz w:val="24"/>
      <w:szCs w:val="24"/>
    </w:rPr>
  </w:style>
  <w:style w:type="paragraph" w:styleId="926" w:customStyle="1">
    <w:name w:val="页脚1"/>
    <w:basedOn w:val="676"/>
    <w:uiPriority w:val="0"/>
    <w:qFormat/>
    <w:pPr>
      <w:jc w:val="left"/>
      <w:tabs>
        <w:tab w:val="center" w:pos="4153" w:leader="none"/>
        <w:tab w:val="right" w:pos="8306" w:leader="none"/>
      </w:tabs>
    </w:pPr>
    <w:rPr>
      <w:sz w:val="18"/>
      <w:szCs w:val="18"/>
    </w:rPr>
  </w:style>
  <w:style w:type="character" w:styleId="927" w:customStyle="1">
    <w:name w:val="NormalCharacter"/>
    <w:uiPriority w:val="0"/>
    <w:qFormat/>
    <w:rPr>
      <w:sz w:val="21"/>
      <w:szCs w:val="22"/>
      <w:lang w:val="en-US" w:eastAsia="zh-CN" w:bidi="ar-SA"/>
    </w:rPr>
  </w:style>
  <w:style w:type="paragraph" w:styleId="928" w:customStyle="1">
    <w:name w:val="[Normal]"/>
    <w:uiPriority w:val="0"/>
    <w:qFormat/>
    <w:rPr>
      <w:rFonts w:hint="default" w:ascii="方正仿宋简体" w:hAnsi="方正仿宋简体" w:eastAsia="方正仿宋简体" w:cs="Courier New"/>
      <w:sz w:val="24"/>
      <w:szCs w:val="22"/>
      <w:lang w:val="zh-CN"/>
    </w:rPr>
  </w:style>
  <w:style w:type="character" w:styleId="929" w:customStyle="1">
    <w:name w:val="font31"/>
    <w:basedOn w:val="686"/>
    <w:uiPriority w:val="0"/>
    <w:rPr>
      <w:rFonts w:hint="eastAsia" w:ascii="宋体" w:hAnsi="宋体" w:eastAsia="宋体" w:cs="宋体"/>
      <w:color w:val="ff0000"/>
      <w:sz w:val="18"/>
      <w:szCs w:val="18"/>
      <w:u w:val="none"/>
    </w:rPr>
  </w:style>
  <w:style w:type="character" w:styleId="930" w:customStyle="1">
    <w:name w:val="font11"/>
    <w:basedOn w:val="686"/>
    <w:uiPriority w:val="0"/>
    <w:rPr>
      <w:rFonts w:hint="eastAsia" w:ascii="宋体" w:hAnsi="宋体" w:eastAsia="宋体" w:cs="宋体"/>
      <w:color w:val="000000"/>
      <w:sz w:val="18"/>
      <w:szCs w:val="18"/>
      <w:u w:val="none"/>
    </w:rPr>
  </w:style>
  <w:style w:type="character" w:styleId="931" w:customStyle="1">
    <w:name w:val="font21"/>
    <w:basedOn w:val="686"/>
    <w:uiPriority w:val="0"/>
    <w:rPr>
      <w:rFonts w:hint="eastAsia" w:ascii="宋体" w:hAnsi="宋体" w:eastAsia="宋体" w:cs="宋体"/>
      <w:color w:val="000000"/>
      <w:sz w:val="18"/>
      <w:szCs w:val="18"/>
      <w:u w:val="none"/>
    </w:rPr>
  </w:style>
  <w:style w:type="character" w:styleId="932" w:customStyle="1">
    <w:name w:val="font41"/>
    <w:basedOn w:val="686"/>
    <w:uiPriority w:val="0"/>
    <w:rPr>
      <w:rFonts w:hint="eastAsia" w:ascii="宋体" w:hAnsi="宋体" w:eastAsia="宋体" w:cs="宋体"/>
      <w:color w:val="000000"/>
      <w:sz w:val="18"/>
      <w:szCs w:val="18"/>
      <w:u w:val="none"/>
    </w:rPr>
  </w:style>
  <w:style w:type="character" w:styleId="933" w:customStyle="1">
    <w:name w:val="font51"/>
    <w:basedOn w:val="686"/>
    <w:uiPriority w:val="0"/>
    <w:rPr>
      <w:rFonts w:hint="eastAsia" w:ascii="宋体" w:hAnsi="宋体" w:eastAsia="宋体" w:cs="宋体"/>
      <w:color w:val="ff0000"/>
      <w:sz w:val="18"/>
      <w:szCs w:val="18"/>
      <w:u w:val="none"/>
    </w:rPr>
  </w:style>
  <w:style w:type="numbering" w:styleId="9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067a2e21-009a-4cd1-8cf1-820d7bc679de</errorID>
      <errorWord>二○二五</errorWord>
      <group>L1_Knowledge</group>
      <groupName>知识性问题</groupName>
      <ability>L2_Knowledge</ability>
      <abilityName>其他知识</abilityName>
      <candidateList>
        <item>二〇二五</item>
      </candidateList>
      <explain/>
      <paraID>79A05FA1</paraID>
      <start>0</start>
      <end>4</end>
      <status>unmodified</status>
      <modifiedWord/>
      <trackRevisions>false</trackRevisions>
    </reviewItem>
    <reviewItem>
      <errorID>7c07ad54-b126-457f-9b9c-d83a39180ea2</errorID>
      <errorWord> </errorWord>
      <group>L1_AI</group>
      <groupName>深度校对</groupName>
      <ability>L2_AI_Punc</ability>
      <abilityName>标点纠错</abilityName>
      <candidateList>
        <item/>
      </candidateList>
      <explain>此处空格冗余，建议删除。</explain>
      <paraID> F00EB6A</paraID>
      <start>28</start>
      <end>29</end>
      <status>unmodified</status>
      <modifiedWord/>
      <trackRevisions>false</trackRevisions>
    </reviewItem>
    <reviewItem>
      <errorID>325bd8d9-1d8d-4ce0-b6e4-f324032169e1</errorID>
      <errorWord>2025年11月06日</errorWord>
      <group>L1_Knowledge</group>
      <groupName>知识性问题</groupName>
      <ability>L2_Time</ability>
      <abilityName>日期时间</abilityName>
      <candidateList>
        <item>2025年11月6日</item>
      </candidateList>
      <explain>根据日常书写习惯，日期一般会省略前导零。</explain>
      <paraID>3E5A2867</paraID>
      <start>6</start>
      <end>17</end>
      <status>unmodified</status>
      <modifiedWord/>
      <trackRevisions>false</trackRevisions>
    </reviewItem>
    <reviewItem>
      <errorID>22b4c1a4-3615-4df3-8d49-4b019e2e7d6f</errorID>
      <errorWord>下午14:00</errorWord>
      <group>L1_Knowledge</group>
      <groupName>知识性问题</groupName>
      <ability>L2_Time</ability>
      <abilityName>日期时间</abilityName>
      <candidateList>
        <item>14:00</item>
      </candidateList>
      <explain>24小时制的时间，不需要强调“下午”。</explain>
      <paraID>3E5A2867</paraID>
      <start>45</start>
      <end>52</end>
      <status>unmodified</status>
      <modifiedWord/>
      <trackRevisions>false</trackRevisions>
    </reviewItem>
    <reviewItem>
      <errorID>512be335-28e1-47a9-93b9-f940f119ffdb</errorID>
      <errorWord> </errorWord>
      <group>L1_AI</group>
      <groupName>深度校对</groupName>
      <ability>L2_AI_Punc</ability>
      <abilityName>标点纠错</abilityName>
      <candidateList>
        <item/>
      </candidateList>
      <explain>此处空格冗余，建议删除。</explain>
      <paraID>3E5A2867</paraID>
      <start>71</start>
      <end>71</end>
      <status>modified</status>
      <modifiedWord/>
      <trackRevisions>false</trackRevisions>
    </reviewItem>
    <reviewItem>
      <errorID>fe4ce7fc-c2c3-4268-8607-09809a1e52cc</errorID>
      <errorWord>(</errorWord>
      <group>L1_Format</group>
      <groupName>格式问题</groupName>
      <ability>L2_HalfPunc</ability>
      <abilityName>全半角检查</abilityName>
      <candidateList>
        <item>（</item>
      </candidateList>
      <explain>文本全半角错误。</explain>
      <paraID>6B3FB037</paraID>
      <start>49</start>
      <end>50</end>
      <status>unmodified</status>
      <modifiedWord/>
      <trackRevisions>false</trackRevisions>
    </reviewItem>
    <reviewItem>
      <errorID>16fe51e8-b600-4896-bb44-c1e8bc5b219e</errorID>
      <errorWord>)</errorWord>
      <group>L1_Format</group>
      <groupName>格式问题</groupName>
      <ability>L2_HalfPunc</ability>
      <abilityName>全半角检查</abilityName>
      <candidateList>
        <item>）</item>
      </candidateList>
      <explain>文本全半角错误。</explain>
      <paraID>6B3FB037</paraID>
      <start>65</start>
      <end>66</end>
      <status>unmodified</status>
      <modifiedWord/>
      <trackRevisions>false</trackRevisions>
    </reviewItem>
    <reviewItem>
      <errorID>a0991fca-ae55-42cd-9087-9653853f8171</errorID>
      <errorWord>（</errorWord>
      <group>L1_AI</group>
      <groupName>深度校对</groupName>
      <ability>L2_AI_Punc</ability>
      <abilityName>标点纠错</abilityName>
      <candidateList>
        <item>：</item>
      </candidateList>
      <explain/>
      <paraID> 34825E4</paraID>
      <start>129</start>
      <end>130</end>
      <status>unmodified</status>
      <modifiedWord/>
      <trackRevisions>false</trackRevisions>
    </reviewItem>
    <reviewItem>
      <errorID>7ff1dae4-b7b8-4977-88ce-386934903da1</errorID>
      <errorWord>）</errorWord>
      <group>L1_AI</group>
      <groupName>深度校对</groupName>
      <ability>L2_AI_Punc</ability>
      <abilityName>标点纠错</abilityName>
      <candidateList>
        <item/>
      </candidateList>
      <explain/>
      <paraID> 34825E4</paraID>
      <start>214</start>
      <end>215</end>
      <status>unmodified</status>
      <modifiedWord/>
      <trackRevisions>false</trackRevisions>
    </reviewItem>
    <reviewItem>
      <errorID>5e10dbcc-77ec-434d-9875-bdf9c7aa7b82</errorID>
      <errorWord>(https://njgc.jfh.com/)</errorWord>
      <group>L1_AI</group>
      <groupName>深度校对</groupName>
      <ability>L2_AI_Punc</ability>
      <abilityName>标点纠错</abilityName>
      <candidateList>
        <item>（https://njgc.jfh.com/）</item>
      </candidateList>
      <explain/>
      <paraID>4558E78A</paraID>
      <start>110</start>
      <end>133</end>
      <status>unmodified</status>
      <modifiedWord/>
      <trackRevisions>false</trackRevisions>
    </reviewItem>
    <reviewItem>
      <errorID>162f91c2-9baf-479b-b020-f7e3e4f1a643</errorID>
      <errorWord>打开</errorWord>
      <group>L1_AI</group>
      <groupName>深度校对</groupName>
      <ability>L2_AI_Punc</ability>
      <abilityName>标点纠错</abilityName>
      <candidateList>
        <item>，打开</item>
      </candidateList>
      <explain/>
      <paraID>4558E78A</paraID>
      <start>153</start>
      <end>155</end>
      <status>unmodified</status>
      <modifiedWord/>
      <trackRevisions>false</trackRevisions>
    </reviewItem>
    <reviewItem>
      <errorID>8d0803f5-8647-45c6-87d8-3b2ce5292a96</errorID>
      <errorWord>(未注册的供应商应先点击“供应商注册点这里”并按要求完成注册)</errorWord>
      <group>L1_AI</group>
      <groupName>深度校对</groupName>
      <ability>L2_AI_Punc</ability>
      <abilityName>标点纠错</abilityName>
      <candidateList>
        <item>（未注册的供应商应先点击“供应商注册点这里”并按要求完成注册）</item>
      </candidateList>
      <explain/>
      <paraID>4558E78A</paraID>
      <start>266</start>
      <end>297</end>
      <status>unmodified</status>
      <modifiedWord/>
      <trackRevisions>false</trackRevisions>
    </reviewItem>
    <reviewItem>
      <errorID>fcfa094e-e546-4f25-98d8-a8bdf0129954</errorID>
      <errorWord>)</errorWord>
      <group>L1_Format</group>
      <groupName>格式问题</groupName>
      <ability>L2_HalfPunc</ability>
      <abilityName>全半角检查</abilityName>
      <candidateList>
        <item>）</item>
      </candidateList>
      <explain>文本全半角错误。</explain>
      <paraID>4558E78A</paraID>
      <start>296</start>
      <end>297</end>
      <status>unmodified</status>
      <modifiedWord/>
      <trackRevisions>false</trackRevisions>
    </reviewItem>
    <reviewItem>
      <errorID>1f0a4031-4ca9-40cf-8658-06b29ed6513c</errorID>
      <errorWord>法人签字</errorWord>
      <group>L1_Word</group>
      <groupName>字词问题</groupName>
      <ability>L2_Typo</ability>
      <abilityName>字词错误</abilityName>
      <candidateList>
        <item>法人代表签字</item>
      </candidateList>
      <explain/>
      <paraID>4558E78A</paraID>
      <start>351</start>
      <end>355</end>
      <status>unmodified</status>
      <modifiedWord/>
      <trackRevisions>false</trackRevisions>
    </reviewItem>
    <reviewItem>
      <errorID>6c0f73fa-43ba-49e5-9b2d-27c9035eaba2</errorID>
      <errorWord>并</errorWord>
      <group>L1_Word</group>
      <groupName>字词问题</groupName>
      <ability>L2_Typo</ability>
      <abilityName>字词错误</abilityName>
      <candidateList>
        <item>并加</item>
      </candidateList>
      <explain/>
      <paraID>4558E78A</paraID>
      <start>355</start>
      <end>356</end>
      <status>unmodified</status>
      <modifiedWord/>
      <trackRevisions>false</trackRevisions>
    </reviewItem>
    <reviewItem>
      <errorID>b156d625-45de-4902-9e64-5823232b8b8b</errorID>
      <errorWord>《</errorWord>
      <group>L1_AI</group>
      <groupName>深度校对</groupName>
      <ability>L2_AI_Grammar</ability>
      <abilityName>语法纠错</abilityName>
      <candidateList>
        <item>的《</item>
      </candidateList>
      <explain/>
      <paraID>2404B4DA</paraID>
      <start>21</start>
      <end>22</end>
      <status>unmodified</status>
      <modifiedWord/>
      <trackRevisions>false</trackRevisions>
    </reviewItem>
    <reviewItem>
      <errorID>f1f875dd-fa9e-46c5-99e9-1c9d0778f77c</errorID>
      <errorWord>:</errorWord>
      <group>L1_Format</group>
      <groupName>格式问题</groupName>
      <ability>L2_HalfPunc</ability>
      <abilityName>全半角检查</abilityName>
      <candidateList>
        <item>：</item>
      </candidateList>
      <explain>文本全半角错误。</explain>
      <paraID>2404B4DA</paraID>
      <start>55</start>
      <end>56</end>
      <status>unmodified</status>
      <modifiedWord/>
      <trackRevisions>false</trackRevisions>
    </reviewItem>
    <reviewItem>
      <errorID>414131ee-8331-4d69-9b9c-66b14a7c3f7f</errorID>
      <errorWord>:</errorWord>
      <group>L1_Format</group>
      <groupName>格式问题</groupName>
      <ability>L2_HalfPunc</ability>
      <abilityName>全半角检查</abilityName>
      <candidateList>
        <item>：</item>
      </candidateList>
      <explain>文本全半角错误。</explain>
      <paraID>505DB86B</paraID>
      <start>18</start>
      <end>19</end>
      <status>unmodified</status>
      <modifiedWord/>
      <trackRevisions>false</trackRevisions>
    </reviewItem>
    <reviewItem>
      <errorID>f1793131-cb44-4af4-9b77-79241bb46de5</errorID>
      <errorWord>》</errorWord>
      <group>L1_AI</group>
      <groupName>深度校对</groupName>
      <ability>L2_AI_Punc</ability>
      <abilityName>标点纠错</abilityName>
      <candidateList>
        <item>》。</item>
      </candidateList>
      <explain/>
      <paraID>39CAD15D</paraID>
      <start>26</start>
      <end>27</end>
      <status>unmodified</status>
      <modifiedWord/>
      <trackRevisions>false</trackRevisions>
    </reviewItem>
    <reviewItem>
      <errorID>1ffbfb4d-3332-4082-93ac-2bb70b7cee7a</errorID>
      <errorWord>》</errorWord>
      <group>L1_AI</group>
      <groupName>深度校对</groupName>
      <ability>L2_AI_Punc</ability>
      <abilityName>标点纠错</abilityName>
      <candidateList>
        <item>》。</item>
      </candidateList>
      <explain/>
      <paraID> A0B688A</paraID>
      <start>25</start>
      <end>26</end>
      <status>unmodified</status>
      <modifiedWord/>
      <trackRevisions>false</trackRevisions>
    </reviewItem>
    <reviewItem>
      <errorID>072854ae-42c5-485b-a631-a64090e851d3</errorID>
      <errorWord>》</errorWord>
      <group>L1_AI</group>
      <groupName>深度校对</groupName>
      <ability>L2_AI_Punc</ability>
      <abilityName>标点纠错</abilityName>
      <candidateList>
        <item>》。</item>
      </candidateList>
      <explain/>
      <paraID>158A842F</paraID>
      <start>22</start>
      <end>23</end>
      <status>unmodified</status>
      <modifiedWord/>
      <trackRevisions>false</trackRevisions>
    </reviewItem>
    <reviewItem>
      <errorID>6ad252ee-d2be-4c72-aafd-b6d1c28a90c7</errorID>
      <errorWord>》</errorWord>
      <group>L1_AI</group>
      <groupName>深度校对</groupName>
      <ability>L2_AI_Punc</ability>
      <abilityName>标点纠错</abilityName>
      <candidateList>
        <item>》。</item>
      </candidateList>
      <explain/>
      <paraID>7F5C25E1</paraID>
      <start>32</start>
      <end>33</end>
      <status>unmodified</status>
      <modifiedWord/>
      <trackRevisions>false</trackRevisions>
    </reviewItem>
    <reviewItem>
      <errorID>8a4f0cd4-fbe2-4323-8acd-f11135887012</errorID>
      <errorWord>八、</errorWord>
      <group>L1_AI</group>
      <groupName>深度校对</groupName>
      <ability>L2_AI_Word</ability>
      <abilityName>字词纠错</abilityName>
      <candidateList>
        <item>8.</item>
      </candidateList>
      <explain/>
      <paraID>1C1977D4</paraID>
      <start>0</start>
      <end>2</end>
      <status>unmodified</status>
      <modifiedWord/>
      <trackRevisions>false</trackRevisions>
    </reviewItem>
    <reviewItem>
      <errorID>c51fbc20-2034-4888-8c2d-eb0693bd4ca0</errorID>
      <errorWord>1.采购人信息</errorWord>
      <group>L1_AI</group>
      <groupName>深度校对</groupName>
      <ability>L2_AI_Title</ability>
      <abilityName>标题检查</abilityName>
      <candidateList/>
      <explain>相邻标题序号不连续。前文一级标题‘八、对本次招标提出询问，请按以下方式联系’后，应按序号顺序出现二级标题‘八.1’等形式，而此处直接出现‘1.采购人信息’，存在相邻标题序号不连续的问题；后续‘2.采购代理机构信息’同样存在此问题，属于同类连续错误。</explain>
      <paraID>12414ACB</paraID>
      <start>0</start>
      <end>7</end>
      <status>unmodified</status>
      <modifiedWord/>
      <trackRevisions>false</trackRevisions>
    </reviewItem>
    <reviewItem>
      <errorID>c4e48d29-d380-44f2-afe3-602f9199f22d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9339DB2</paraID>
      <start>17</start>
      <end>20</end>
      <status>unmodified</status>
      <modifiedWord/>
      <trackRevisions>false</trackRevisions>
    </reviewItem>
    <reviewItem>
      <errorID>1dac6102-f333-42b0-bde8-6c826d039302</errorID>
      <errorWord>规章</errorWord>
      <group>L1_AI</group>
      <groupName>深度校对</groupName>
      <ability>L2_AI_Word</ability>
      <abilityName>字词纠错</abilityName>
      <candidateList>
        <item>法规</item>
      </candidateList>
      <explain/>
      <paraID> 9339DB2</paraID>
      <start>63</start>
      <end>65</end>
      <status>unmodified</status>
      <modifiedWord/>
      <trackRevisions>false</trackRevisions>
    </reviewItem>
    <reviewItem>
      <errorID>9c351e45-c689-410e-b7b9-bd1e516d8fb8</errorID>
      <errorWord>规定等</errorWord>
      <group>L1_AI</group>
      <groupName>深度校对</groupName>
      <ability>L2_AI_Grammar</ability>
      <abilityName>语法纠错</abilityName>
      <candidateList>
        <item>规定</item>
      </candidateList>
      <explain>❶〈动〉对某一事物做出关于方式、方法或数量、质量的决定：～产品的质量标准｜不得超过～的日期。❷〈名〉所规定的内容：关于下岗职工的安排问题，上级已经有了新的～。</explain>
      <paraID> 9339DB2</paraID>
      <start>66</start>
      <end>69</end>
      <status>unmodified</status>
      <modifiedWord/>
      <trackRevisions>false</trackRevisions>
    </reviewItem>
    <reviewItem>
      <errorID>bb114421-c7a0-45c9-a6be-32c1bad0bd16</errorID>
      <errorWord>，</errorWord>
      <group>L1_Word</group>
      <groupName>字词问题</groupName>
      <ability>L2_Typo</ability>
      <abilityName>字词错误</abilityName>
      <candidateList>
        <item>，中</item>
      </candidateList>
      <explain/>
      <paraID>501CE6CA</paraID>
      <start>15</start>
      <end>16</end>
      <status>unmodified</status>
      <modifiedWord/>
      <trackRevisions>false</trackRevisions>
    </reviewItem>
    <reviewItem>
      <errorID>76ac991a-3dd3-4f12-9495-54cc02345f00</errorID>
      <errorWord>的</errorWord>
      <group>L1_Word</group>
      <groupName>字词问题</groupName>
      <ability>L2_Typo</ability>
      <abilityName>字词错误</abilityName>
      <candidateList>
        <item>的中</item>
      </candidateList>
      <explain/>
      <paraID>501CE6CA</paraID>
      <start>51</start>
      <end>52</end>
      <status>unmodified</status>
      <modifiedWord/>
      <trackRevisions>false</trackRevisions>
    </reviewItem>
    <reviewItem>
      <errorID>c57b0250-0968-4b67-914d-a9db6c416536</errorID>
      <errorWord>占到</errorWord>
      <group>L1_Word</group>
      <groupName>字词问题</groupName>
      <ability>L2_Typo</ability>
      <abilityName>字词错误</abilityName>
      <candidateList>
        <item>占</item>
      </candidateList>
      <explain/>
      <paraID>6CAC421E</paraID>
      <start>137</start>
      <end>139</end>
      <status>unmodified</status>
      <modifiedWord/>
      <trackRevisions>false</trackRevisions>
    </reviewItem>
    <reviewItem>
      <errorID>0839b371-4708-4501-824d-bec4b4ea1cc1</errorID>
      <errorWord>（</errorWord>
      <group>L1_Punc</group>
      <groupName>标点问题</groupName>
      <ability>L2_Punc</ability>
      <abilityName>标点符号检查</abilityName>
      <candidateList/>
      <explain>同一形式括号套用。</explain>
      <paraID>2830FF75</paraID>
      <start>82</start>
      <end>83</end>
      <status>unmodified</status>
      <modifiedWord/>
      <trackRevisions>false</trackRevisions>
    </reviewItem>
    <reviewItem>
      <errorID>d084bb8d-968f-4ab7-9dc7-026fdb02b712</errorID>
      <errorWord>）</errorWord>
      <group>L1_Punc</group>
      <groupName>标点问题</groupName>
      <ability>L2_Punc</ability>
      <abilityName>标点符号检查</abilityName>
      <candidateList/>
      <explain>同一形式括号套用。</explain>
      <paraID>2830FF75</paraID>
      <start>92</start>
      <end>93</end>
      <status>unmodified</status>
      <modifiedWord/>
      <trackRevisions>false</trackRevisions>
    </reviewItem>
    <reviewItem>
      <errorID>86c65d03-7863-44cf-8b5b-b68e1374b793</errorID>
      <errorWord>除在</errorWord>
      <group>L1_Word</group>
      <groupName>字词问题</groupName>
      <ability>L2_Typo</ability>
      <abilityName>字词错误</abilityName>
      <candidateList>
        <item>除</item>
      </candidateList>
      <explain/>
      <paraID>23C4B063</paraID>
      <start>3</start>
      <end>5</end>
      <status>unmodified</status>
      <modifiedWord/>
      <trackRevisions>false</trackRevisions>
    </reviewItem>
    <reviewItem>
      <errorID>dabf1da3-112e-4a3c-b3b5-b0eea1535a79</errorID>
      <errorWord>件</errorWord>
      <group>L1_Word</group>
      <groupName>字词问题</groupName>
      <ability>L2_Typo</ability>
      <abilityName>字词错误</abilityName>
      <candidateList>
        <item>件中</item>
      </candidateList>
      <explain/>
      <paraID>23C4B063</paraID>
      <start>8</start>
      <end>9</end>
      <status>unmodified</status>
      <modifiedWord/>
      <trackRevisions>false</trackRevisions>
    </reviewItem>
    <reviewItem>
      <errorID>4bd4bb60-cdff-459d-8895-fd18a87441e4</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5049CCE3</paraID>
      <start>63</start>
      <end>64</end>
      <status>unmodified</status>
      <modifiedWord/>
      <trackRevisions>false</trackRevisions>
    </reviewItem>
    <reviewItem>
      <errorID>045b1e8d-a68e-410f-a91a-768d0038b6ae</errorID>
      <errorWord>接收</errorWord>
      <group>L1_Word</group>
      <groupName>字词问题</groupName>
      <ability>L2_Typo</ability>
      <abilityName>字词错误</abilityName>
      <candidateList>
        <item>接受</item>
      </candidateList>
      <explain>存在发音相同字词的误用。</explain>
      <paraID>5049CCE3</paraID>
      <start>82</start>
      <end>84</end>
      <status>unmodified</status>
      <modifiedWord/>
      <trackRevisions>false</trackRevisions>
    </reviewItem>
    <reviewItem>
      <errorID>1033099d-1686-47ac-9179-24ff7dbe40d1</errorID>
      <errorWord>规定做</errorWord>
      <group>L1_Word</group>
      <groupName>字词问题</groupName>
      <ability>L2_Typo</ability>
      <abilityName>字词错误</abilityName>
      <candidateList>
        <item>规定作</item>
      </candidateList>
      <explain/>
      <paraID>398BE5B7</paraID>
      <start>81</start>
      <end>84</end>
      <status>unmodified</status>
      <modifiedWord/>
      <trackRevisions>false</trackRevisions>
    </reviewItem>
    <reviewItem>
      <errorID>2035b110-fc31-40c5-8bc3-310afb4d2e96</errorID>
      <errorWord>不得以</errorWord>
      <group>L1_Word</group>
      <groupName>字词问题</groupName>
      <ability>L2_Typo</ability>
      <abilityName>字词错误</abilityName>
      <candidateList>
        <item>不得</item>
      </candidateList>
      <explain>〈助〉用在动词、形容词后面，表示不可以或不能够：去～｜要～｜动弹～｜马虎～｜老虎屁股摸～｜科学上来～半点虚假。</explain>
      <paraID>1C77A171</paraID>
      <start>8</start>
      <end>11</end>
      <status>unmodified</status>
      <modifiedWord/>
      <trackRevisions>false</trackRevisions>
    </reviewItem>
    <reviewItem>
      <errorID>b778cd66-f125-445a-b19f-c11e0ccbdfca</errorID>
      <errorWord>涉及到</errorWord>
      <group>L1_Word</group>
      <groupName>字词问题</groupName>
      <ability>L2_Typo</ability>
      <abilityName>字词错误</abilityName>
      <candidateList>
        <item>涉及</item>
      </candidateList>
      <explain>〈动〉牵涉到；关联到：案子～好几个人｜这个问题～面很广。</explain>
      <paraID>77A373FF</paraID>
      <start>14</start>
      <end>17</end>
      <status>unmodified</status>
      <modifiedWord/>
      <trackRevisions>false</trackRevisions>
    </reviewItem>
    <reviewItem>
      <errorID>a9c941ee-9036-458a-85ec-c877f830eb06</errorID>
      <errorWord>(</errorWord>
      <group>L1_Format</group>
      <groupName>格式问题</groupName>
      <ability>L2_HalfPunc</ability>
      <abilityName>全半角检查</abilityName>
      <candidateList>
        <item>（</item>
      </candidateList>
      <explain>文本全半角错误。</explain>
      <paraID>351DF2F7</paraID>
      <start>49</start>
      <end>50</end>
      <status>unmodified</status>
      <modifiedWord/>
      <trackRevisions>false</trackRevisions>
    </reviewItem>
    <reviewItem>
      <errorID>b06cdad0-8933-4042-bcbc-ea22b569b1c8</errorID>
      <errorWord>)</errorWord>
      <group>L1_Format</group>
      <groupName>格式问题</groupName>
      <ability>L2_HalfPunc</ability>
      <abilityName>全半角检查</abilityName>
      <candidateList>
        <item>）</item>
      </candidateList>
      <explain>文本全半角错误。</explain>
      <paraID>351DF2F7</paraID>
      <start>65</start>
      <end>66</end>
      <status>unmodified</status>
      <modifiedWord/>
      <trackRevisions>false</trackRevisions>
    </reviewItem>
    <reviewItem>
      <errorID>ac49b300-bfa2-4b47-87ca-fdab3a89ca6d</errorID>
      <errorWord>法律、法规</errorWord>
      <group>L1_Word</group>
      <groupName>字词问题</groupName>
      <ability>L2_Typo</ability>
      <abilityName>字词错误</abilityName>
      <candidateList>
        <item>法律法规</item>
      </candidateList>
      <explain/>
      <paraID>4600309D</paraID>
      <start>4</start>
      <end>9</end>
      <status>unmodified</status>
      <modifiedWord/>
      <trackRevisions>false</trackRevisions>
    </reviewItem>
    <reviewItem>
      <errorID>1be4dbf0-d064-4cc9-8fdf-06dbe14ed05c</errorID>
      <errorWord>法律、法规</errorWord>
      <group>L1_Word</group>
      <groupName>字词问题</groupName>
      <ability>L2_Typo</ability>
      <abilityName>字词错误</abilityName>
      <candidateList>
        <item>法律法规</item>
      </candidateList>
      <explain/>
      <paraID>33D48132</paraID>
      <start>7</start>
      <end>12</end>
      <status>unmodified</status>
      <modifiedWord/>
      <trackRevisions>false</trackRevisions>
    </reviewItem>
    <reviewItem>
      <errorID>5939a919-71b9-495e-ab88-7ec5aa1ab03e</errorID>
      <errorWord>&lt;</errorWord>
      <group>L1_Format</group>
      <groupName>格式问题</groupName>
      <ability>L2_HalfPunc</ability>
      <abilityName>全半角检查</abilityName>
      <candidateList>
        <item>〈</item>
      </candidateList>
      <explain>文本全半角错误。</explain>
      <paraID>55D21C27</paraID>
      <start>33</start>
      <end>34</end>
      <status>unmodified</status>
      <modifiedWord/>
      <trackRevisions>false</trackRevisions>
    </reviewItem>
    <reviewItem>
      <errorID>ea986574-44d3-485f-a126-0cd6b7292d92</errorID>
      <errorWord>&lt;</errorWord>
      <group>L1_Format</group>
      <groupName>格式问题</groupName>
      <ability>L2_HalfPunc</ability>
      <abilityName>全半角检查</abilityName>
      <candidateList>
        <item>〈</item>
      </candidateList>
      <explain>文本全半角错误。</explain>
      <paraID>58D4B989</paraID>
      <start>35</start>
      <end>36</end>
      <status>unmodified</status>
      <modifiedWord/>
      <trackRevisions>false</trackRevisions>
    </reviewItem>
    <reviewItem>
      <errorID>7e0d5f70-c55d-444e-814c-1d50e243c867</errorID>
      <errorWord>，</errorWord>
      <group>L1_Word</group>
      <groupName>字词问题</groupName>
      <ability>L2_Typo</ability>
      <abilityName>字词错误</abilityName>
      <candidateList>
        <item>，在</item>
      </candidateList>
      <explain/>
      <paraID>2CA61F19</paraID>
      <start>45</start>
      <end>46</end>
      <status>unmodified</status>
      <modifiedWord/>
      <trackRevisions>false</trackRevisions>
    </reviewItem>
    <reviewItem>
      <errorID>93ad536a-b2e6-4150-b893-277a93ec181c</errorID>
      <errorWord>,</errorWord>
      <group>L1_Format</group>
      <groupName>格式问题</groupName>
      <ability>L2_HalfPunc</ability>
      <abilityName>全半角检查</abilityName>
      <candidateList>
        <item>，</item>
      </candidateList>
      <explain>文本全半角错误。</explain>
      <paraID>2CA61F19</paraID>
      <start>83</start>
      <end>84</end>
      <status>unmodified</status>
      <modifiedWord/>
      <trackRevisions>false</trackRevisions>
    </reviewItem>
    <reviewItem>
      <errorID>8de2e424-efc7-4730-926b-2b217f07c76d</errorID>
      <errorWord>百分之十</errorWord>
      <group>L1_Knowledge</group>
      <groupName>知识性问题</groupName>
      <ability>L2_Knowledge</ability>
      <abilityName>其他知识</abilityName>
      <candidateList>
        <item>10%</item>
      </candidateList>
      <explain/>
      <paraID>3B0C1DC9</paraID>
      <start>87</start>
      <end>91</end>
      <status>unmodified</status>
      <modifiedWord/>
      <trackRevisions>false</trackRevisions>
    </reviewItem>
    <reviewItem>
      <errorID>6f99c552-fe55-435c-b135-05ea417516f9</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34790046</paraID>
      <start>137</start>
      <end>142</end>
      <status>unmodified</status>
      <modifiedWord/>
      <trackRevisions>false</trackRevisions>
    </reviewItem>
    <reviewItem>
      <errorID>901a400d-cc42-49a4-a0c5-9177bf4199b2</errorID>
      <errorWord>理</errorWord>
      <group>L1_Word</group>
      <groupName>字词问题</groupName>
      <ability>L2_Typo</ability>
      <abilityName>字词错误</abilityName>
      <candidateList>
        <item>理和</item>
      </candidateList>
      <explain/>
      <paraID>6B4EE4DA</paraID>
      <start>12</start>
      <end>13</end>
      <status>unmodified</status>
      <modifiedWord/>
      <trackRevisions>false</trackRevisions>
    </reviewItem>
    <reviewItem>
      <errorID>bb4808cd-23c0-4a33-9a45-4544806a48ca</errorID>
      <errorWord>理</errorWord>
      <group>L1_Word</group>
      <groupName>字词问题</groupName>
      <ability>L2_Typo</ability>
      <abilityName>字词错误</abilityName>
      <candidateList>
        <item>理和</item>
      </candidateList>
      <explain/>
      <paraID>1B709D0C</paraID>
      <start>12</start>
      <end>13</end>
      <status>unmodified</status>
      <modifiedWord/>
      <trackRevisions>false</trackRevisions>
    </reviewItem>
    <reviewItem>
      <errorID>0e96a583-67a5-4294-9701-a6b15506265b</errorID>
      <errorWord>合理性</errorWord>
      <group>L1_Word</group>
      <groupName>字词问题</groupName>
      <ability>L2_Typo</ability>
      <abilityName>字词错误</abilityName>
      <candidateList>
        <item>合理</item>
      </candidateList>
      <explain/>
      <paraID>4CCDFD7A</paraID>
      <start>14</start>
      <end>17</end>
      <status>unmodified</status>
      <modifiedWord/>
      <trackRevisions>false</trackRevisions>
    </reviewItem>
    <reviewItem>
      <errorID>f384a169-03c2-46bb-8f37-b58b022685ff</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4027E4EF</paraID>
      <start>26</start>
      <end>29</end>
      <status>unmodified</status>
      <modifiedWord/>
      <trackRevisions>false</trackRevisions>
    </reviewItem>
    <reviewItem>
      <errorID>c93ec29a-0bc5-42b2-ae31-6a070efb418c</errorID>
      <errorWord>声纳</errorWord>
      <group>L1_Word</group>
      <groupName>字词问题</groupName>
      <ability>L2_Typo</ability>
      <abilityName>字词错误</abilityName>
      <candidateList>
        <item>声呐</item>
      </candidateList>
      <explain/>
      <paraID>4AC64154</paraID>
      <start>12</start>
      <end>14</end>
      <status>unmodified</status>
      <modifiedWord/>
      <trackRevisions>false</trackRevisions>
    </reviewItem>
    <reviewItem>
      <errorID>8feed12e-d477-48f5-8148-e74e43870702</errorID>
      <errorWord>kw</errorWord>
      <group>L1_Word</group>
      <groupName>字词问题</groupName>
      <ability>L2_Typo</ability>
      <abilityName>字词错误</abilityName>
      <candidateList>
        <item>kW</item>
      </candidateList>
      <explain/>
      <paraID>3C42AD44</paraID>
      <start>11</start>
      <end>13</end>
      <status>modified</status>
      <modifiedWord>kW</modifiedWord>
      <trackRevisions>false</trackRevisions>
    </reviewItem>
    <reviewItem>
      <errorID>b5f339cc-39c4-404f-b4ce-c2d4394c3f00</errorID>
      <errorWord>(</errorWord>
      <group>L1_Format</group>
      <groupName>格式问题</groupName>
      <ability>L2_HalfPunc</ability>
      <abilityName>全半角检查</abilityName>
      <candidateList>
        <item>（</item>
      </candidateList>
      <explain>文本全半角错误。</explain>
      <paraID>4321159F</paraID>
      <start>31</start>
      <end>32</end>
      <status>unmodified</status>
      <modifiedWord/>
      <trackRevisions>false</trackRevisions>
    </reviewItem>
    <reviewItem>
      <errorID>3ec66f5d-8c5b-4fd5-a0c0-06614f72b22e</errorID>
      <errorWord>kw</errorWord>
      <group>L1_Word</group>
      <groupName>字词问题</groupName>
      <ability>L2_Typo</ability>
      <abilityName>字词错误</abilityName>
      <candidateList>
        <item>kW</item>
      </candidateList>
      <explain/>
      <paraID>47D3178E</paraID>
      <start>13</start>
      <end>15</end>
      <status>modified</status>
      <modifiedWord>kW</modifiedWord>
      <trackRevisions>false</trackRevisions>
    </reviewItem>
    <reviewItem>
      <errorID>beba0250-8309-479a-8f02-44657780fa03</errorID>
      <errorWord>,</errorWord>
      <group>L1_Format</group>
      <groupName>格式问题</groupName>
      <ability>L2_HalfPunc</ability>
      <abilityName>全半角检查</abilityName>
      <candidateList>
        <item>，</item>
      </candidateList>
      <explain>文本全半角错误。</explain>
      <paraID>47D3178E</paraID>
      <start>15</start>
      <end>16</end>
      <status>unmodified</status>
      <modifiedWord/>
      <trackRevisions>false</trackRevisions>
    </reviewItem>
    <reviewItem>
      <errorID>22e9f1f6-061b-4dfb-bfaf-19cab613829b</errorID>
      <errorWord>:</errorWord>
      <group>L1_Format</group>
      <groupName>格式问题</groupName>
      <ability>L2_HalfPunc</ability>
      <abilityName>全半角检查</abilityName>
      <candidateList>
        <item>：</item>
      </candidateList>
      <explain>文本全半角错误。</explain>
      <paraID>47D3178E</paraID>
      <start>33</start>
      <end>34</end>
      <status>unmodified</status>
      <modifiedWord/>
      <trackRevisions>false</trackRevisions>
    </reviewItem>
    <reviewItem>
      <errorID>8b51e4d0-1736-4fab-8def-4946738cedc3</errorID>
      <errorWord>:</errorWord>
      <group>L1_Format</group>
      <groupName>格式问题</groupName>
      <ability>L2_HalfPunc</ability>
      <abilityName>全半角检查</abilityName>
      <candidateList>
        <item>：</item>
      </candidateList>
      <explain>文本全半角错误。</explain>
      <paraID>716374F1</paraID>
      <start>11</start>
      <end>12</end>
      <status>unmodified</status>
      <modifiedWord/>
      <trackRevisions>false</trackRevisions>
    </reviewItem>
    <reviewItem>
      <errorID>1c2aa938-602a-49f2-939f-f81194aca6bb</errorID>
      <errorWord>(</errorWord>
      <group>L1_Format</group>
      <groupName>格式问题</groupName>
      <ability>L2_HalfPunc</ability>
      <abilityName>全半角检查</abilityName>
      <candidateList>
        <item>（</item>
      </candidateList>
      <explain>文本全半角错误。</explain>
      <paraID>716374F1</paraID>
      <start>15</start>
      <end>16</end>
      <status>unmodified</status>
      <modifiedWord/>
      <trackRevisions>false</trackRevisions>
    </reviewItem>
    <reviewItem>
      <errorID>e853d941-20af-42fe-936e-df212d904caf</errorID>
      <errorWord>)</errorWord>
      <group>L1_Format</group>
      <groupName>格式问题</groupName>
      <ability>L2_HalfPunc</ability>
      <abilityName>全半角检查</abilityName>
      <candidateList>
        <item>）</item>
      </candidateList>
      <explain>文本全半角错误。</explain>
      <paraID>716374F1</paraID>
      <start>23</start>
      <end>24</end>
      <status>unmodified</status>
      <modifiedWord/>
      <trackRevisions>false</trackRevisions>
    </reviewItem>
    <reviewItem>
      <errorID>f3a1540d-0bf4-44b3-bc48-6e0429cd0c56</errorID>
      <errorWord>:</errorWord>
      <group>L1_Format</group>
      <groupName>格式问题</groupName>
      <ability>L2_HalfPunc</ability>
      <abilityName>全半角检查</abilityName>
      <candidateList>
        <item>：</item>
      </candidateList>
      <explain>文本全半角错误。</explain>
      <paraID>716374F1</paraID>
      <start>29</start>
      <end>30</end>
      <status>unmodified</status>
      <modifiedWord/>
      <trackRevisions>false</trackRevisions>
    </reviewItem>
    <reviewItem>
      <errorID>0e6ef8bc-d9b6-4fd2-ba99-0ab8af6c4cc8</errorID>
      <errorWord>:</errorWord>
      <group>L1_Format</group>
      <groupName>格式问题</groupName>
      <ability>L2_HalfPunc</ability>
      <abilityName>全半角检查</abilityName>
      <candidateList>
        <item>：</item>
      </candidateList>
      <explain>文本全半角错误。</explain>
      <paraID>716374F1</paraID>
      <start>37</start>
      <end>38</end>
      <status>unmodified</status>
      <modifiedWord/>
      <trackRevisions>false</trackRevisions>
    </reviewItem>
    <reviewItem>
      <errorID>6d73ffdd-ac85-4fda-9e2f-55c175706758</errorID>
      <errorWord>螺旋浆</errorWord>
      <group>L1_Word</group>
      <groupName>字词问题</groupName>
      <ability>L2_Typo</ability>
      <abilityName>字词错误</abilityName>
      <candidateList>
        <item>螺旋桨</item>
      </candidateList>
      <explain/>
      <paraID>2A3B38F2</paraID>
      <start>4</start>
      <end>7</end>
      <status>modified</status>
      <modifiedWord>螺旋桨</modifiedWord>
      <trackRevisions>false</trackRevisions>
    </reviewItem>
    <reviewItem>
      <errorID>0e9b626d-64bb-409a-bc14-ab9db5e875b7</errorID>
      <errorWord>(</errorWord>
      <group>L1_Format</group>
      <groupName>格式问题</groupName>
      <ability>L2_HalfPunc</ability>
      <abilityName>全半角检查</abilityName>
      <candidateList>
        <item>（</item>
      </candidateList>
      <explain>文本全半角错误。</explain>
      <paraID>40DEC5E4</paraID>
      <start>7</start>
      <end>8</end>
      <status>unmodified</status>
      <modifiedWord/>
      <trackRevisions>false</trackRevisions>
    </reviewItem>
    <reviewItem>
      <errorID>325f993a-fa12-4b4d-b252-b68a99bcebe5</errorID>
      <errorWord>)</errorWord>
      <group>L1_Format</group>
      <groupName>格式问题</groupName>
      <ability>L2_HalfPunc</ability>
      <abilityName>全半角检查</abilityName>
      <candidateList>
        <item>）</item>
      </candidateList>
      <explain>文本全半角错误。</explain>
      <paraID>40DEC5E4</paraID>
      <start>13</start>
      <end>14</end>
      <status>unmodified</status>
      <modifiedWord/>
      <trackRevisions>false</trackRevisions>
    </reviewItem>
    <reviewItem>
      <errorID>feacd18e-bb36-4684-879b-a43f0d7e61bc</errorID>
      <errorWord>kw</errorWord>
      <group>L1_Word</group>
      <groupName>字词问题</groupName>
      <ability>L2_Typo</ability>
      <abilityName>字词错误</abilityName>
      <candidateList>
        <item>kW</item>
      </candidateList>
      <explain/>
      <paraID>23269513</paraID>
      <start>12</start>
      <end>14</end>
      <status>modified</status>
      <modifiedWord>kW</modifiedWord>
      <trackRevisions>false</trackRevisions>
    </reviewItem>
    <reviewItem>
      <errorID>ddeca7a6-33d6-4251-b7a8-880be72e4004</errorID>
      <errorWord>kw</errorWord>
      <group>L1_Word</group>
      <groupName>字词问题</groupName>
      <ability>L2_Typo</ability>
      <abilityName>字词错误</abilityName>
      <candidateList>
        <item>kW</item>
      </candidateList>
      <explain/>
      <paraID>525365BA</paraID>
      <start>19</start>
      <end>21</end>
      <status>modified</status>
      <modifiedWord>kW</modifiedWord>
      <trackRevisions>false</trackRevisions>
    </reviewItem>
    <reviewItem>
      <errorID>799cba20-a034-4bb4-b02b-18c683883653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525365BA</paraID>
      <start>28</start>
      <end>29</end>
      <status>modified</status>
      <modifiedWord>～</modifiedWord>
      <trackRevisions>false</trackRevisions>
    </reviewItem>
    <reviewItem>
      <errorID>cb5f09ac-3627-4aba-bd65-51b111da8968</errorID>
      <errorWord>kw</errorWord>
      <group>L1_Word</group>
      <groupName>字词问题</groupName>
      <ability>L2_Typo</ability>
      <abilityName>字词错误</abilityName>
      <candidateList>
        <item>kW</item>
      </candidateList>
      <explain/>
      <paraID>6007BFD1</paraID>
      <start>12</start>
      <end>14</end>
      <status>modified</status>
      <modifiedWord>kW</modifiedWord>
      <trackRevisions>false</trackRevisions>
    </reviewItem>
    <reviewItem>
      <errorID>3ae9fd82-c63a-4a03-aa9c-e39d01dfb969</errorID>
      <errorWord>kw</errorWord>
      <group>L1_Word</group>
      <groupName>字词问题</groupName>
      <ability>L2_Typo</ability>
      <abilityName>字词错误</abilityName>
      <candidateList>
        <item>kW</item>
      </candidateList>
      <explain/>
      <paraID>2C92B20C</paraID>
      <start>12</start>
      <end>14</end>
      <status>modified</status>
      <modifiedWord>kW</modifiedWord>
      <trackRevisions>false</trackRevisions>
    </reviewItem>
    <reviewItem>
      <errorID>89a5301d-6fcd-4120-a32b-f9694cd47972</errorID>
      <errorWord>无极调速</errorWord>
      <group>L1_Word</group>
      <groupName>字词问题</groupName>
      <ability>L2_Typo</ability>
      <abilityName>字词错误</abilityName>
      <candidateList>
        <item>无级调速</item>
      </candidateList>
      <explain/>
      <paraID>2C92B20C</paraID>
      <start>49</start>
      <end>53</end>
      <status>unmodified</status>
      <modifiedWord/>
      <trackRevisions>false</trackRevisions>
    </reviewItem>
    <reviewItem>
      <errorID>9d3c1b2d-6d03-4f34-ac85-7250ad1c24ad</errorID>
      <errorWord>(</errorWord>
      <group>L1_Format</group>
      <groupName>格式问题</groupName>
      <ability>L2_HalfPunc</ability>
      <abilityName>全半角检查</abilityName>
      <candidateList>
        <item>（</item>
      </candidateList>
      <explain>文本全半角错误。</explain>
      <paraID>3A11E1A6</paraID>
      <start>23</start>
      <end>24</end>
      <status>unmodified</status>
      <modifiedWord/>
      <trackRevisions>false</trackRevisions>
    </reviewItem>
    <reviewItem>
      <errorID>d210e61c-56ed-4648-b7b9-61ba63bf0634</errorID>
      <errorWord>)</errorWord>
      <group>L1_Format</group>
      <groupName>格式问题</groupName>
      <ability>L2_HalfPunc</ability>
      <abilityName>全半角检查</abilityName>
      <candidateList>
        <item>）</item>
      </candidateList>
      <explain>文本全半角错误。</explain>
      <paraID>3A11E1A6</paraID>
      <start>53</start>
      <end>54</end>
      <status>unmodified</status>
      <modifiedWord/>
      <trackRevisions>false</trackRevisions>
    </reviewItem>
    <reviewItem>
      <errorID>08e8f43a-4372-46e7-af63-693592d9d2bc</errorID>
      <errorWord>抗早</errorWord>
      <group>L1_Word</group>
      <groupName>字词问题</groupName>
      <ability>L2_Typo</ability>
      <abilityName>字词错误</abilityName>
      <candidateList>
        <item>抗旱</item>
      </candidateList>
      <explain/>
      <paraID>3705A669</paraID>
      <start>49</start>
      <end>51</end>
      <status>modified</status>
      <modifiedWord>抗旱</modifiedWord>
      <trackRevisions>false</trackRevisions>
    </reviewItem>
    <reviewItem>
      <errorID>0539bd1a-387b-4489-9592-2a69c1fc0ea8</errorID>
      <errorWord>聚胺脂</errorWord>
      <group>L1_Word</group>
      <groupName>字词问题</groupName>
      <ability>L2_Typo</ability>
      <abilityName>字词错误</abilityName>
      <candidateList>
        <item>聚氨酯</item>
      </candidateList>
      <explain/>
      <paraID>39820F93</paraID>
      <start>69</start>
      <end>72</end>
      <status>unmodified</status>
      <modifiedWord/>
      <trackRevisions>false</trackRevisions>
    </reviewItem>
    <reviewItem>
      <errorID>9c57bd6f-d048-40e5-a64e-4d0609765530</errorID>
      <errorWord>卡口</errorWord>
      <group>L1_Word</group>
      <groupName>字词问题</groupName>
      <ability>L2_Typo</ability>
      <abilityName>字词错误</abilityName>
      <candidateList>
        <item>卡扣</item>
      </candidateList>
      <explain/>
      <paraID>39820F93</paraID>
      <start>87</start>
      <end>89</end>
      <status>unmodified</status>
      <modifiedWord/>
      <trackRevisions>false</trackRevisions>
    </reviewItem>
    <reviewItem>
      <errorID>903f6d32-229b-4139-9095-1a0b5baf1b21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38FBC364</paraID>
      <start>7</start>
      <end>8</end>
      <status>unmodified</status>
      <modifiedWord/>
      <trackRevisions>false</trackRevisions>
    </reviewItem>
    <reviewItem>
      <errorID>0f49c48b-d8f2-4ef0-a3bb-73dd48f10795</errorID>
      <errorWord>kw</errorWord>
      <group>L1_Word</group>
      <groupName>字词问题</groupName>
      <ability>L2_Typo</ability>
      <abilityName>字词错误</abilityName>
      <candidateList>
        <item>kW</item>
      </candidateList>
      <explain/>
      <paraID>7DE7914E</paraID>
      <start>9</start>
      <end>11</end>
      <status>modified</status>
      <modifiedWord>kW</modifiedWord>
      <trackRevisions>false</trackRevisions>
    </reviewItem>
    <reviewItem>
      <errorID>c05c772c-cabe-42e2-869a-45df504c30c0</errorID>
      <errorWord>(</errorWord>
      <group>L1_Format</group>
      <groupName>格式问题</groupName>
      <ability>L2_HalfPunc</ability>
      <abilityName>全半角检查</abilityName>
      <candidateList>
        <item>（</item>
      </candidateList>
      <explain>文本全半角错误。</explain>
      <paraID>5B3AB247</paraID>
      <start>11</start>
      <end>12</end>
      <status>unmodified</status>
      <modifiedWord/>
      <trackRevisions>false</trackRevisions>
    </reviewItem>
    <reviewItem>
      <errorID>fa43c1f6-374d-49a2-8c07-bef5a75a33c6</errorID>
      <errorWord>)</errorWord>
      <group>L1_Format</group>
      <groupName>格式问题</groupName>
      <ability>L2_HalfPunc</ability>
      <abilityName>全半角检查</abilityName>
      <candidateList>
        <item>）</item>
      </candidateList>
      <explain>文本全半角错误。</explain>
      <paraID>5B3AB247</paraID>
      <start>27</start>
      <end>28</end>
      <status>unmodified</status>
      <modifiedWord/>
      <trackRevisions>false</trackRevisions>
    </reviewItem>
    <reviewItem>
      <errorID>d89d9db8-e58b-4bfa-b416-73cc778d6c42</errorID>
      <errorWord>(</errorWord>
      <group>L1_Format</group>
      <groupName>格式问题</groupName>
      <ability>L2_HalfPunc</ability>
      <abilityName>全半角检查</abilityName>
      <candidateList>
        <item>（</item>
      </candidateList>
      <explain>文本全半角错误。</explain>
      <paraID>2D5F4288</paraID>
      <start>21</start>
      <end>22</end>
      <status>unmodified</status>
      <modifiedWord/>
      <trackRevisions>false</trackRevisions>
    </reviewItem>
    <reviewItem>
      <errorID>77590d40-a631-4742-9487-61cdac48a4b7</errorID>
      <errorWord>)</errorWord>
      <group>L1_Format</group>
      <groupName>格式问题</groupName>
      <ability>L2_HalfPunc</ability>
      <abilityName>全半角检查</abilityName>
      <candidateList>
        <item>）</item>
      </candidateList>
      <explain>文本全半角错误。</explain>
      <paraID>2D5F4288</paraID>
      <start>27</start>
      <end>28</end>
      <status>unmodified</status>
      <modifiedWord/>
      <trackRevisions>false</trackRevisions>
    </reviewItem>
    <reviewItem>
      <errorID>0e919d08-8d60-42ce-86bb-940f0f7e2b48</errorID>
      <errorWord>(</errorWord>
      <group>L1_Format</group>
      <groupName>格式问题</groupName>
      <ability>L2_HalfPunc</ability>
      <abilityName>全半角检查</abilityName>
      <candidateList>
        <item>（</item>
      </candidateList>
      <explain>文本全半角错误。</explain>
      <paraID>693A2B3C</paraID>
      <start>13</start>
      <end>14</end>
      <status>unmodified</status>
      <modifiedWord/>
      <trackRevisions>false</trackRevisions>
    </reviewItem>
    <reviewItem>
      <errorID>927e9eab-a638-4fd3-949e-cbdc584ec2cd</errorID>
      <errorWord>)</errorWord>
      <group>L1_Format</group>
      <groupName>格式问题</groupName>
      <ability>L2_HalfPunc</ability>
      <abilityName>全半角检查</abilityName>
      <candidateList>
        <item>）</item>
      </candidateList>
      <explain>文本全半角错误。</explain>
      <paraID>693A2B3C</paraID>
      <start>19</start>
      <end>20</end>
      <status>unmodified</status>
      <modifiedWord/>
      <trackRevisions>false</trackRevisions>
    </reviewItem>
    <reviewItem>
      <errorID>3005b828-64d4-48b7-9404-e72455cd1467</errorID>
      <errorWord>(</errorWord>
      <group>L1_Format</group>
      <groupName>格式问题</groupName>
      <ability>L2_HalfPunc</ability>
      <abilityName>全半角检查</abilityName>
      <candidateList>
        <item>（</item>
      </candidateList>
      <explain>文本全半角错误。</explain>
      <paraID>65A2A97A</paraID>
      <start>12</start>
      <end>13</end>
      <status>unmodified</status>
      <modifiedWord/>
      <trackRevisions>false</trackRevisions>
    </reviewItem>
    <reviewItem>
      <errorID>43846092-44a8-4b04-a39d-c68562a523c5</errorID>
      <errorWord>)</errorWord>
      <group>L1_Format</group>
      <groupName>格式问题</groupName>
      <ability>L2_HalfPunc</ability>
      <abilityName>全半角检查</abilityName>
      <candidateList>
        <item>）</item>
      </candidateList>
      <explain>文本全半角错误。</explain>
      <paraID>65A2A97A</paraID>
      <start>18</start>
      <end>19</end>
      <status>unmodified</status>
      <modifiedWord/>
      <trackRevisions>false</trackRevisions>
    </reviewItem>
    <reviewItem>
      <errorID>1f1f0983-59a8-4781-819c-de37b6ccb0d2</errorID>
      <errorWord>(</errorWord>
      <group>L1_Format</group>
      <groupName>格式问题</groupName>
      <ability>L2_HalfPunc</ability>
      <abilityName>全半角检查</abilityName>
      <candidateList>
        <item>（</item>
      </candidateList>
      <explain>文本全半角错误。</explain>
      <paraID>17D44CC1</paraID>
      <start>10</start>
      <end>11</end>
      <status>unmodified</status>
      <modifiedWord/>
      <trackRevisions>false</trackRevisions>
    </reviewItem>
    <reviewItem>
      <errorID>245cdefd-6f17-4e54-8525-c7513f79cd50</errorID>
      <errorWord>)</errorWord>
      <group>L1_Format</group>
      <groupName>格式问题</groupName>
      <ability>L2_HalfPunc</ability>
      <abilityName>全半角检查</abilityName>
      <candidateList>
        <item>）</item>
      </candidateList>
      <explain>文本全半角错误。</explain>
      <paraID>17D44CC1</paraID>
      <start>13</start>
      <end>14</end>
      <status>unmodified</status>
      <modifiedWord/>
      <trackRevisions>false</trackRevisions>
    </reviewItem>
    <reviewItem>
      <errorID>7f7040cc-cb7f-4b66-a88f-4708bf89ff83</errorID>
      <errorWord>(</errorWord>
      <group>L1_Format</group>
      <groupName>格式问题</groupName>
      <ability>L2_HalfPunc</ability>
      <abilityName>全半角检查</abilityName>
      <candidateList>
        <item>（</item>
      </candidateList>
      <explain>文本全半角错误。</explain>
      <paraID>17D44CC1</paraID>
      <start>17</start>
      <end>18</end>
      <status>unmodified</status>
      <modifiedWord/>
      <trackRevisions>false</trackRevisions>
    </reviewItem>
    <reviewItem>
      <errorID>a90ab479-8b46-4177-8262-299931fe98a5</errorID>
      <errorWord>)</errorWord>
      <group>L1_Format</group>
      <groupName>格式问题</groupName>
      <ability>L2_HalfPunc</ability>
      <abilityName>全半角检查</abilityName>
      <candidateList>
        <item>）</item>
      </candidateList>
      <explain>文本全半角错误。</explain>
      <paraID>17D44CC1</paraID>
      <start>22</start>
      <end>23</end>
      <status>unmodified</status>
      <modifiedWord/>
      <trackRevisions>false</trackRevisions>
    </reviewItem>
    <reviewItem>
      <errorID>6e2e45c2-5b6b-46fb-ac8a-601a86880736</errorID>
      <errorWord>(</errorWord>
      <group>L1_Format</group>
      <groupName>格式问题</groupName>
      <ability>L2_HalfPunc</ability>
      <abilityName>全半角检查</abilityName>
      <candidateList>
        <item>（</item>
      </candidateList>
      <explain>文本全半角错误。</explain>
      <paraID>17D44CC1</paraID>
      <start>28</start>
      <end>29</end>
      <status>unmodified</status>
      <modifiedWord/>
      <trackRevisions>false</trackRevisions>
    </reviewItem>
    <reviewItem>
      <errorID>fbcb49b2-206e-4158-88ae-9601ecbe30dc</errorID>
      <errorWord>)</errorWord>
      <group>L1_Format</group>
      <groupName>格式问题</groupName>
      <ability>L2_HalfPunc</ability>
      <abilityName>全半角检查</abilityName>
      <candidateList>
        <item>）</item>
      </candidateList>
      <explain>文本全半角错误。</explain>
      <paraID>17D44CC1</paraID>
      <start>33</start>
      <end>34</end>
      <status>unmodified</status>
      <modifiedWord/>
      <trackRevisions>false</trackRevisions>
    </reviewItem>
    <reviewItem>
      <errorID>2ed8cb7a-8b0f-4d8f-b781-d747284605a9</errorID>
      <errorWord>KW</errorWord>
      <group>L1_Word</group>
      <groupName>字词问题</groupName>
      <ability>L2_Typo</ability>
      <abilityName>字词错误</abilityName>
      <candidateList>
        <item>kW</item>
      </candidateList>
      <explain/>
      <paraID>445A0225</paraID>
      <start>8</start>
      <end>10</end>
      <status>modified</status>
      <modifiedWord>kW</modifiedWord>
      <trackRevisions>false</trackRevisions>
    </reviewItem>
    <reviewItem>
      <errorID>a17d32ff-ebab-471f-a06f-887266ebf192</errorID>
      <errorWord>，</errorWord>
      <group>L1_Word</group>
      <groupName>字词问题</groupName>
      <ability>L2_Typo</ability>
      <abilityName>字词错误</abilityName>
      <candidateList>
        <item>，具</item>
      </candidateList>
      <explain/>
      <paraID>6B79FA8D</paraID>
      <start>22</start>
      <end>24</end>
      <status>modified</status>
      <modifiedWord>，具</modifiedWord>
      <trackRevisions>false</trackRevisions>
    </reviewItem>
    <reviewItem>
      <errorID>477f60ef-f30f-4ed3-a4a2-497740ee07a0</errorID>
      <errorWord>Kg</errorWord>
      <group>L1_Word</group>
      <groupName>字词问题</groupName>
      <ability>L2_Typo</ability>
      <abilityName>字词错误</abilityName>
      <candidateList>
        <item>kg</item>
      </candidateList>
      <explain/>
      <paraID> 50280F5</paraID>
      <start>14</start>
      <end>16</end>
      <status>unmodified</status>
      <modifiedWord/>
      <trackRevisions>false</trackRevisions>
    </reviewItem>
    <reviewItem>
      <errorID>64fd97e2-337b-4dd6-a225-3b8d09dfc1d2</errorID>
      <errorWord>脉博</errorWord>
      <group>L1_Word</group>
      <groupName>字词问题</groupName>
      <ability>L2_Typo</ability>
      <abilityName>字词错误</abilityName>
      <candidateList>
        <item>脉搏</item>
      </candidateList>
      <explain>〈名〉❶心脏收缩时，由于输出血液的冲击引起的动脉的跳动。医生可根据脉搏来诊断疾病。❷比喻社会、生活等发展、变化的情况或趋势：时代的～｜把握生活的～。</explain>
      <paraID>23C8D931</paraID>
      <start>15</start>
      <end>17</end>
      <status>unmodified</status>
      <modifiedWord/>
      <trackRevisions>false</trackRevisions>
    </reviewItem>
    <reviewItem>
      <errorID>6838f736-7146-4f3f-893d-7b01c878ed6f</errorID>
      <errorWord>,</errorWord>
      <group>L1_Format</group>
      <groupName>格式问题</groupName>
      <ability>L2_HalfPunc</ability>
      <abilityName>全半角检查</abilityName>
      <candidateList>
        <item>，</item>
      </candidateList>
      <explain>文本全半角错误。</explain>
      <paraID>4C66BC1A</paraID>
      <start>18</start>
      <end>19</end>
      <status>unmodified</status>
      <modifiedWord/>
      <trackRevisions>false</trackRevisions>
    </reviewItem>
    <reviewItem>
      <errorID>8d95704b-97c7-4abe-82a6-070e789941be</errorID>
      <errorWord>声纳</errorWord>
      <group>L1_Word</group>
      <groupName>字词问题</groupName>
      <ability>L2_Typo</ability>
      <abilityName>字词错误</abilityName>
      <candidateList>
        <item>声呐</item>
      </candidateList>
      <explain/>
      <paraID>627CA9C1</paraID>
      <start>12</start>
      <end>14</end>
      <status>unmodified</status>
      <modifiedWord/>
      <trackRevisions>false</trackRevisions>
    </reviewItem>
    <reviewItem>
      <errorID>53860d7e-88e9-4ada-8ac5-67de854adcde</errorID>
      <errorWord>探探</errorWord>
      <group>L1_Word</group>
      <groupName>字词问题</groupName>
      <ability>L2_Typo</ability>
      <abilityName>字词错误</abilityName>
      <candidateList>
        <item>探</item>
      </candidateList>
      <explain/>
      <paraID> 67842F1</paraID>
      <start>7</start>
      <end>8</end>
      <status>modified</status>
      <modifiedWord>探</modifiedWord>
      <trackRevisions>false</trackRevisions>
    </reviewItem>
    <reviewItem>
      <errorID>bb4426fb-4259-4c55-9dae-de51c9709491</errorID>
      <errorWord>~</errorWord>
      <group>L1_Format</group>
      <groupName>格式问题</groupName>
      <ability>L2_HalfPunc</ability>
      <abilityName>全半角检查</abilityName>
      <candidateList>
        <item>～</item>
      </candidateList>
      <explain>文本全半角错误。</explain>
      <paraID>414A7C2D</paraID>
      <start>9</start>
      <end>10</end>
      <status>unmodified</status>
      <modifiedWord/>
      <trackRevisions>false</trackRevisions>
    </reviewItem>
    <reviewItem>
      <errorID>affec2cc-ecb5-4a1d-ba5a-8fd9d95e85be</errorID>
      <errorWord>~</errorWord>
      <group>L1_Format</group>
      <groupName>格式问题</groupName>
      <ability>L2_HalfPunc</ability>
      <abilityName>全半角检查</abilityName>
      <candidateList>
        <item>～</item>
      </candidateList>
      <explain>文本全半角错误。</explain>
      <paraID> E3022BA</paraID>
      <start>20</start>
      <end>21</end>
      <status>unmodified</status>
      <modifiedWord/>
      <trackRevisions>false</trackRevisions>
    </reviewItem>
    <reviewItem>
      <errorID>eac4a773-a95b-4da1-baa8-25ba1ae09ad3</errorID>
      <errorWord>~</errorWord>
      <group>L1_Format</group>
      <groupName>格式问题</groupName>
      <ability>L2_HalfPunc</ability>
      <abilityName>全半角检查</abilityName>
      <candidateList>
        <item>～</item>
      </candidateList>
      <explain>文本全半角错误。</explain>
      <paraID> E3022BA</paraID>
      <start>35</start>
      <end>36</end>
      <status>unmodified</status>
      <modifiedWord/>
      <trackRevisions>false</trackRevisions>
    </reviewItem>
    <reviewItem>
      <errorID>b18b3264-3986-4e8b-bd87-c3085c23044e</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33DDDCD1</paraID>
      <start>0</start>
      <end>2</end>
      <status>unmodified</status>
      <modifiedWord/>
      <trackRevisions>false</trackRevisions>
    </reviewItem>
    <reviewItem>
      <errorID>abcd7b39-2047-40b1-b9b3-2f62204ff935</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3C4DDA89</paraID>
      <start>0</start>
      <end>2</end>
      <status>unmodified</status>
      <modifiedWord/>
      <trackRevisions>false</trackRevisions>
    </reviewItem>
    <reviewItem>
      <errorID>00b5bdd6-0b38-452e-9c1d-0ab93457430c</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4B8F0B7F</paraID>
      <start>0</start>
      <end>2</end>
      <status>unmodified</status>
      <modifiedWord/>
      <trackRevisions>false</trackRevisions>
    </reviewItem>
    <reviewItem>
      <errorID>05b6b3f2-77cd-4c8c-b737-92aac47e4fe7</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238DDD27</paraID>
      <start>0</start>
      <end>2</end>
      <status>unmodified</status>
      <modifiedWord/>
      <trackRevisions>false</trackRevisions>
    </reviewItem>
    <reviewItem>
      <errorID>17cda9fe-b593-4562-a84c-61fd80a95e42</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19EF35BA</paraID>
      <start>0</start>
      <end>2</end>
      <status>unmodified</status>
      <modifiedWord/>
      <trackRevisions>false</trackRevisions>
    </reviewItem>
    <reviewItem>
      <errorID>a1a60774-078f-4366-8cc1-cd140cd2deda</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7EDC219C</paraID>
      <start>2</start>
      <end>3</end>
      <status>unmodified</status>
      <modifiedWord/>
      <trackRevisions>false</trackRevisions>
    </reviewItem>
    <reviewItem>
      <errorID>31701340-1482-4de4-b695-fa15adb58466</errorID>
      <errorWord>接受</errorWord>
      <group>L1_Word</group>
      <groupName>字词问题</groupName>
      <ability>L2_Typo</ability>
      <abilityName>字词错误</abilityName>
      <candidateList>
        <item>接收</item>
      </candidateList>
      <explain>存在发音相同字词的误用。</explain>
      <paraID>315D539D</paraID>
      <start>52</start>
      <end>54</end>
      <status>unmodified</status>
      <modifiedWord/>
      <trackRevisions>false</trackRevisions>
    </reviewItem>
    <reviewItem>
      <errorID>d74acc12-ad57-49ed-af24-6fbadd5d2670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5B76FF34</paraID>
      <start>0</start>
      <end>2</end>
      <status>unmodified</status>
      <modifiedWord/>
      <trackRevisions>false</trackRevisions>
    </reviewItem>
    <reviewItem>
      <errorID>bc3401ce-69fc-447e-9de2-3c7de1779184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3AC59EC9</paraID>
      <start>0</start>
      <end>2</end>
      <status>unmodified</status>
      <modifiedWord/>
      <trackRevisions>false</trackRevisions>
    </reviewItem>
    <reviewItem>
      <errorID>6f8d65a3-73c7-4e8b-9ce0-f1426735b923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4B6ADA2A</paraID>
      <start>0</start>
      <end>2</end>
      <status>unmodified</status>
      <modifiedWord/>
      <trackRevisions>false</trackRevisions>
    </reviewItem>
    <reviewItem>
      <errorID>5a06b026-68f7-4ae4-8950-76f423d949ef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BD09A19</paraID>
      <start>0</start>
      <end>2</end>
      <status>unmodified</status>
      <modifiedWord/>
      <trackRevisions>false</trackRevisions>
    </reviewItem>
    <reviewItem>
      <errorID>692d8114-834f-4bef-bd79-249d63af4de0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4F1B362E</paraID>
      <start>0</start>
      <end>2</end>
      <status>unmodified</status>
      <modifiedWord/>
      <trackRevisions>false</trackRevisions>
    </reviewItem>
    <reviewItem>
      <errorID>b5d81304-e8ca-44ac-8649-a087e25c6d44</errorID>
      <errorWord>应</errorWord>
      <group>L1_Word</group>
      <groupName>字词问题</groupName>
      <ability>L2_Typo</ability>
      <abilityName>字词错误</abilityName>
      <candidateList>
        <item>应当</item>
      </candidateList>
      <explain/>
      <paraID>4F1B362E</paraID>
      <start>51</start>
      <end>52</end>
      <status>unmodified</status>
      <modifiedWord/>
      <trackRevisions>false</trackRevisions>
    </reviewItem>
    <reviewItem>
      <errorID>d2d8c429-a2ea-40ec-a863-8a5c9d851415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74928B23</paraID>
      <start>0</start>
      <end>2</end>
      <status>unmodified</status>
      <modifiedWord/>
      <trackRevisions>false</trackRevisions>
    </reviewItem>
    <reviewItem>
      <errorID>8487adbb-f132-460c-b717-bec04f473a8e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308D9A8F</paraID>
      <start>0</start>
      <end>2</end>
      <status>unmodified</status>
      <modifiedWord/>
      <trackRevisions>false</trackRevisions>
    </reviewItem>
    <reviewItem>
      <errorID>26aa6f45-2be9-46f6-9f3c-b793858d4bee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4D0D5DF8</paraID>
      <start>0</start>
      <end>2</end>
      <status>unmodified</status>
      <modifiedWord/>
      <trackRevisions>false</trackRevisions>
    </reviewItem>
    <reviewItem>
      <errorID>00bfb94e-22ff-47cf-8b2c-b2228145bc0d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16A5E280</paraID>
      <start>0</start>
      <end>2</end>
      <status>unmodified</status>
      <modifiedWord/>
      <trackRevisions>false</trackRevisions>
    </reviewItem>
    <reviewItem>
      <errorID>bdb1281f-289d-4763-8885-b9cca3cd5ca5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10A6ED94</paraID>
      <start>0</start>
      <end>2</end>
      <status>unmodified</status>
      <modifiedWord/>
      <trackRevisions>false</trackRevisions>
    </reviewItem>
    <reviewItem>
      <errorID>b7daf3c2-862b-42dc-b457-f0471001e3a6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3553D0F4</paraID>
      <start>0</start>
      <end>2</end>
      <status>unmodified</status>
      <modifiedWord/>
      <trackRevisions>false</trackRevisions>
    </reviewItem>
    <reviewItem>
      <errorID>e11f4dfe-4092-4bb1-80b1-6f63502f25f8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10F5EE65</paraID>
      <start>0</start>
      <end>2</end>
      <status>unmodified</status>
      <modifiedWord/>
      <trackRevisions>false</trackRevisions>
    </reviewItem>
    <reviewItem>
      <errorID>48f12fdc-2501-497f-b800-e9ec9f071a1d</errorID>
      <errorWord>,</errorWord>
      <group>L1_Format</group>
      <groupName>格式问题</groupName>
      <ability>L2_HalfPunc</ability>
      <abilityName>全半角检查</abilityName>
      <candidateList>
        <item>，</item>
      </candidateList>
      <explain>文本全半角错误。</explain>
      <paraID>10F5EE65</paraID>
      <start>37</start>
      <end>38</end>
      <status>unmodified</status>
      <modifiedWord/>
      <trackRevisions>false</trackRevisions>
    </reviewItem>
    <reviewItem>
      <errorID>09a4b888-ff6e-445f-aa99-cab218d1ad05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6A61A3FC</paraID>
      <start>0</start>
      <end>2</end>
      <status>unmodified</status>
      <modifiedWord/>
      <trackRevisions>false</trackRevisions>
    </reviewItem>
    <reviewItem>
      <errorID>736a0df2-f34f-4ef5-be58-2a66834de801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E4A8DE2</paraID>
      <start>0</start>
      <end>2</end>
      <status>unmodified</status>
      <modifiedWord/>
      <trackRevisions>false</trackRevisions>
    </reviewItem>
    <reviewItem>
      <errorID>ba538f2b-29d4-4c9f-9a74-29a79af6372b</errorID>
      <errorWord>（</errorWord>
      <group>L1_Punc</group>
      <groupName>标点问题</groupName>
      <ability>L2_Punc</ability>
      <abilityName>标点符号检查</abilityName>
      <candidateList/>
      <explain/>
      <paraID> E4A8DE2</paraID>
      <start>30</start>
      <end>31</end>
      <status>unmodified</status>
      <modifiedWord/>
      <trackRevisions>false</trackRevisions>
    </reviewItem>
    <reviewItem>
      <errorID>0d3b416c-61a1-4f6a-be05-6b2311d1c8ff</errorID>
      <errorWord>,</errorWord>
      <group>L1_Format</group>
      <groupName>格式问题</groupName>
      <ability>L2_HalfPunc</ability>
      <abilityName>全半角检查</abilityName>
      <candidateList>
        <item>，</item>
      </candidateList>
      <explain>文本全半角错误。</explain>
      <paraID> E4A8DE2</paraID>
      <start>85</start>
      <end>86</end>
      <status>unmodified</status>
      <modifiedWord/>
      <trackRevisions>false</trackRevisions>
    </reviewItem>
    <reviewItem>
      <errorID>e64ff53b-4526-4beb-8202-09ef60a9352e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48B26F57</paraID>
      <start>0</start>
      <end>2</end>
      <status>unmodified</status>
      <modifiedWord/>
      <trackRevisions>false</trackRevisions>
    </reviewItem>
    <reviewItem>
      <errorID>2a45131f-6fd8-46df-84a3-615d5785f792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2DF8843F</paraID>
      <start>0</start>
      <end>2</end>
      <status>unmodified</status>
      <modifiedWord/>
      <trackRevisions>false</trackRevisions>
    </reviewItem>
    <reviewItem>
      <errorID>353eb64f-d3f5-4b86-8b64-519b40924122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640A1172</paraID>
      <start>0</start>
      <end>2</end>
      <status>unmodified</status>
      <modifiedWord/>
      <trackRevisions>false</trackRevisions>
    </reviewItem>
    <reviewItem>
      <errorID>5ef32c2c-f151-4e22-b9c7-ed4c298babb7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3657503E</paraID>
      <start>0</start>
      <end>2</end>
      <status>unmodified</status>
      <modifiedWord/>
      <trackRevisions>false</trackRevisions>
    </reviewItem>
    <reviewItem>
      <errorID>2d9ee867-b57b-45fb-a173-2cb197c9aa34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892DD7</paraID>
      <start>0</start>
      <end>2</end>
      <status>unmodified</status>
      <modifiedWord/>
      <trackRevisions>false</trackRevisions>
    </reviewItem>
    <reviewItem>
      <errorID>47039921-d2dc-4003-97b3-87dd1ae2b137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16DBBDD1</paraID>
      <start>0</start>
      <end>2</end>
      <status>unmodified</status>
      <modifiedWord/>
      <trackRevisions>false</trackRevisions>
    </reviewItem>
    <reviewItem>
      <errorID>369e6f4e-adde-498e-8dec-7ee20116c28e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75EF6ACC</paraID>
      <start>0</start>
      <end>2</end>
      <status>unmodified</status>
      <modifiedWord/>
      <trackRevisions>false</trackRevisions>
    </reviewItem>
    <reviewItem>
      <errorID>42b0c5a2-32da-4986-a6a4-cd3314ecc974</errorID>
      <errorWord>:</errorWord>
      <group>L1_Format</group>
      <groupName>格式问题</groupName>
      <ability>L2_HalfPunc</ability>
      <abilityName>全半角检查</abilityName>
      <candidateList>
        <item>：</item>
      </candidateList>
      <explain>文本全半角错误。</explain>
      <paraID>3A3E71A2</paraID>
      <start>7</start>
      <end>8</end>
      <status>unmodified</status>
      <modifiedWord/>
      <trackRevisions>false</trackRevisions>
    </reviewItem>
    <reviewItem>
      <errorID>aec1b628-262c-4ae2-9eb8-f0b719b17788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70C66764</paraID>
      <start>15</start>
      <end>18</end>
      <status>unmodified</status>
      <modifiedWord/>
      <trackRevisions>false</trackRevisions>
    </reviewItem>
    <reviewItem>
      <errorID>bced793e-f005-4edb-b2b5-837ab552dde7</errorID>
      <errorWord>训</errorWord>
      <group>L1_Word</group>
      <groupName>字词问题</groupName>
      <ability>L2_Typo</ability>
      <abilityName>字词错误</abilityName>
      <candidateList>
        <item>训等</item>
      </candidateList>
      <explain/>
      <paraID>4F393C47</paraID>
      <start>41</start>
      <end>42</end>
      <status>unmodified</status>
      <modifiedWord/>
      <trackRevisions>false</trackRevisions>
    </reviewItem>
    <reviewItem>
      <errorID>0e320c38-026b-4737-ac0c-a506c5df26c5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2435682C</paraID>
      <start>0</start>
      <end>2</end>
      <status>unmodified</status>
      <modifiedWord/>
      <trackRevisions>false</trackRevisions>
    </reviewItem>
    <reviewItem>
      <errorID>abeae79d-9734-47d8-990f-3a28de72d83b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77DF81EC</paraID>
      <start>0</start>
      <end>2</end>
      <status>unmodified</status>
      <modifiedWord/>
      <trackRevisions>false</trackRevisions>
    </reviewItem>
    <reviewItem>
      <errorID>fd20aa57-7e58-4ac4-8277-dadc338975f0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7FD1DE8F</paraID>
      <start>0</start>
      <end>2</end>
      <status>unmodified</status>
      <modifiedWord/>
      <trackRevisions>false</trackRevisions>
    </reviewItem>
    <reviewItem>
      <errorID>0cd41e0c-1598-4800-97ac-00d343012d56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51DAEDFF</paraID>
      <start>0</start>
      <end>2</end>
      <status>unmodified</status>
      <modifiedWord/>
      <trackRevisions>false</trackRevisions>
    </reviewItem>
    <reviewItem>
      <errorID>6e5f3440-8667-435c-8772-57ce3e0a661d</errorID>
      <errorWord>后内</errorWord>
      <group>L1_Word</group>
      <groupName>字词问题</groupName>
      <ability>L2_Typo</ability>
      <abilityName>字词错误</abilityName>
      <candidateList>
        <item>后</item>
      </candidateList>
      <explain>❶君主的妻子：皇～｜～妃。❷古代称君主：商之先～。❸（Hòu）〈名〉姓。</explain>
      <paraID>51DAEDFF</paraID>
      <start>11</start>
      <end>13</end>
      <status>unmodified</status>
      <modifiedWord/>
      <trackRevisions>false</trackRevisions>
    </reviewItem>
    <reviewItem>
      <errorID>35180ff3-c661-4d4c-a646-14ce1b3a3024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387E1AFE</paraID>
      <start>0</start>
      <end>2</end>
      <status>unmodified</status>
      <modifiedWord/>
      <trackRevisions>false</trackRevisions>
    </reviewItem>
    <reviewItem>
      <errorID>2418bfb9-4e20-4495-a156-d4ec00a5fffb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4A78BDD8</paraID>
      <start>0</start>
      <end>2</end>
      <status>unmodified</status>
      <modifiedWord/>
      <trackRevisions>false</trackRevisions>
    </reviewItem>
    <reviewItem>
      <errorID>68088881-aac2-473c-a1a3-16145c07ece9</errorID>
      <errorWord>、以及</errorWord>
      <group>L1_Punc</group>
      <groupName>标点问题</groupName>
      <ability>L2_Punc</ability>
      <abilityName>标点符号检查</abilityName>
      <candidateList>
        <item>，以及</item>
      </candidateList>
      <explain>连接词前后不宜使用顿号，建议使用逗号。</explain>
      <paraID>4A78BDD8</paraID>
      <start>25</start>
      <end>28</end>
      <status>unmodified</status>
      <modifiedWord/>
      <trackRevisions>false</trackRevisions>
    </reviewItem>
    <reviewItem>
      <errorID>70470437-7bf8-4e13-8578-9e60e85c24f7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792E3B57</paraID>
      <start>0</start>
      <end>2</end>
      <status>unmodified</status>
      <modifiedWord/>
      <trackRevisions>false</trackRevisions>
    </reviewItem>
    <reviewItem>
      <errorID>6244c5fd-0976-4b9c-8438-5e6c5b0c5afb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34708682</paraID>
      <start>0</start>
      <end>2</end>
      <status>unmodified</status>
      <modifiedWord/>
      <trackRevisions>false</trackRevisions>
    </reviewItem>
    <reviewItem>
      <errorID>85b89e0a-0be2-4568-aa02-65386be79a2e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1F87C5B8</paraID>
      <start>0</start>
      <end>2</end>
      <status>unmodified</status>
      <modifiedWord/>
      <trackRevisions>false</trackRevisions>
    </reviewItem>
    <reviewItem>
      <errorID>91e236c4-f0c7-4b98-93e8-b56775496b8b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5A788072</paraID>
      <start>0</start>
      <end>2</end>
      <status>unmodified</status>
      <modifiedWord/>
      <trackRevisions>false</trackRevisions>
    </reviewItem>
    <reviewItem>
      <errorID>dfbbf9a4-e3e8-4645-9571-f3e34cd5e82f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7B96D4BA</paraID>
      <start>0</start>
      <end>2</end>
      <status>unmodified</status>
      <modifiedWord/>
      <trackRevisions>false</trackRevisions>
    </reviewItem>
    <reviewItem>
      <errorID>40d39d11-df23-4662-a839-77579259e86e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4936C389</paraID>
      <start>0</start>
      <end>2</end>
      <status>unmodified</status>
      <modifiedWord/>
      <trackRevisions>false</trackRevisions>
    </reviewItem>
    <reviewItem>
      <errorID>c74893ba-b2ec-415f-93fd-eccc5d68c255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629D3292</paraID>
      <start>0</start>
      <end>2</end>
      <status>unmodified</status>
      <modifiedWord/>
      <trackRevisions>false</trackRevisions>
    </reviewItem>
    <reviewItem>
      <errorID>9405978a-18b0-4c4d-868a-4790e6b727e9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442AB1B0</paraID>
      <start>0</start>
      <end>2</end>
      <status>unmodified</status>
      <modifiedWord/>
      <trackRevisions>false</trackRevisions>
    </reviewItem>
    <reviewItem>
      <errorID>cd760e3e-db05-416b-9d18-32f24be5cba3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21C553CE</paraID>
      <start>0</start>
      <end>2</end>
      <status>unmodified</status>
      <modifiedWord/>
      <trackRevisions>false</trackRevisions>
    </reviewItem>
    <reviewItem>
      <errorID>51719b7d-b573-4752-80c5-6d6130b8f497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25B2B724</paraID>
      <start>0</start>
      <end>2</end>
      <status>unmodified</status>
      <modifiedWord/>
      <trackRevisions>false</trackRevisions>
    </reviewItem>
    <reviewItem>
      <errorID>4e24c0cf-a873-4f3c-834d-1fec3d2c0fab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66B87C54</paraID>
      <start>0</start>
      <end>2</end>
      <status>unmodified</status>
      <modifiedWord/>
      <trackRevisions>false</trackRevisions>
    </reviewItem>
    <reviewItem>
      <errorID>8a6c03a4-d056-4bfc-8f12-56620db5e9fb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DE8640C</paraID>
      <start>0</start>
      <end>2</end>
      <status>unmodified</status>
      <modifiedWord/>
      <trackRevisions>false</trackRevisions>
    </reviewItem>
    <reviewItem>
      <errorID>0e5e6e09-e11e-4c41-8d77-ead5e8ad9443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1A21FECC</paraID>
      <start>0</start>
      <end>2</end>
      <status>unmodified</status>
      <modifiedWord/>
      <trackRevisions>false</trackRevisions>
    </reviewItem>
    <reviewItem>
      <errorID>a7c5b55d-9569-4a52-9273-bf86e4e92954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129E1C89</paraID>
      <start>0</start>
      <end>2</end>
      <status>unmodified</status>
      <modifiedWord/>
      <trackRevisions>false</trackRevisions>
    </reviewItem>
    <reviewItem>
      <errorID>7b9d8e17-7e7c-42c9-ad07-e1a2b6bb0445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1E0FF77A</paraID>
      <start>0</start>
      <end>2</end>
      <status>unmodified</status>
      <modifiedWord/>
      <trackRevisions>false</trackRevisions>
    </reviewItem>
    <reviewItem>
      <errorID>7b545a73-19f6-4bdc-8287-6cf9609f5655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6603E729</paraID>
      <start>0</start>
      <end>2</end>
      <status>unmodified</status>
      <modifiedWord/>
      <trackRevisions>false</trackRevisions>
    </reviewItem>
    <reviewItem>
      <errorID>5fcc873f-a581-41c1-81d9-46a1294f0546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311562A6</paraID>
      <start>0</start>
      <end>2</end>
      <status>unmodified</status>
      <modifiedWord/>
      <trackRevisions>false</trackRevisions>
    </reviewItem>
    <reviewItem>
      <errorID>41654d33-f6b6-4686-8a17-cdaa40b1378c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760AD005</paraID>
      <start>0</start>
      <end>2</end>
      <status>unmodified</status>
      <modifiedWord/>
      <trackRevisions>false</trackRevisions>
    </reviewItem>
    <reviewItem>
      <errorID>56366fd2-75ef-426b-8033-0821522ae5d3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D95301C</paraID>
      <start>0</start>
      <end>2</end>
      <status>unmodified</status>
      <modifiedWord/>
      <trackRevisions>false</trackRevisions>
    </reviewItem>
    <reviewItem>
      <errorID>46fa3462-3393-46dc-9344-0615364f8a68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36BA84F6</paraID>
      <start>0</start>
      <end>2</end>
      <status>unmodified</status>
      <modifiedWord/>
      <trackRevisions>false</trackRevisions>
    </reviewItem>
    <reviewItem>
      <errorID>a01b1ae4-b4ad-4a4a-ba6a-70d397c094eb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26906084</paraID>
      <start>0</start>
      <end>2</end>
      <status>unmodified</status>
      <modifiedWord/>
      <trackRevisions>false</trackRevisions>
    </reviewItem>
    <reviewItem>
      <errorID>ef7532e6-0ecd-4d9c-a921-8ba9f683c16c</errorID>
      <errorWord>是由于乙方的过错造成</errorWord>
      <group>L1_Word</group>
      <groupName>字词问题</groupName>
      <ability>L2_Typo</ability>
      <abilityName>字词错误</abilityName>
      <candidateList>
        <item>是由于乙方的过错</item>
      </candidateList>
      <explain/>
      <paraID>26906084</paraID>
      <start>45</start>
      <end>55</end>
      <status>unmodified</status>
      <modifiedWord/>
      <trackRevisions>false</trackRevisions>
    </reviewItem>
    <reviewItem>
      <errorID>39191ddb-b09b-4397-a545-ea692e1556d2</errorID>
      <errorWord>，</errorWord>
      <group>L1_Word</group>
      <groupName>字词问题</groupName>
      <ability>L2_Typo</ability>
      <abilityName>字词错误</abilityName>
      <candidateList>
        <item>，除</item>
      </candidateList>
      <explain/>
      <paraID>26906084</paraID>
      <start>64</start>
      <end>65</end>
      <status>unmodified</status>
      <modifiedWord/>
      <trackRevisions>false</trackRevisions>
    </reviewItem>
    <reviewItem>
      <errorID>8a00c92c-f8ad-428e-bbb7-686c4e491b71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786EC5B5</paraID>
      <start>0</start>
      <end>3</end>
      <status>unmodified</status>
      <modifiedWord/>
      <trackRevisions>false</trackRevisions>
    </reviewItem>
    <reviewItem>
      <errorID>a7895a1d-8b7c-4189-af48-67a284fd30cc</errorID>
      <errorWord>:</errorWord>
      <group>L1_Format</group>
      <groupName>格式问题</groupName>
      <ability>L2_HalfPunc</ability>
      <abilityName>全半角检查</abilityName>
      <candidateList>
        <item>：</item>
      </candidateList>
      <explain>文本全半角错误。</explain>
      <paraID>786EC5B5</paraID>
      <start>11</start>
      <end>12</end>
      <status>unmodified</status>
      <modifiedWord/>
      <trackRevisions>false</trackRevisions>
    </reviewItem>
    <reviewItem>
      <errorID>b3546490-06f9-4f4e-a1cc-91f57f9bed82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200D399A</paraID>
      <start>0</start>
      <end>2</end>
      <status>unmodified</status>
      <modifiedWord/>
      <trackRevisions>false</trackRevisions>
    </reviewItem>
    <reviewItem>
      <errorID>839a6fce-8083-4440-b5d8-00e721baaf0f</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200D399A</paraID>
      <start>4</start>
      <end>9</end>
      <status>unmodified</status>
      <modifiedWord/>
      <trackRevisions>false</trackRevisions>
    </reviewItem>
    <reviewItem>
      <errorID>5c0c30d9-8565-4d1b-824d-5bd5119a323b</errorID>
      <errorWord>第50条</errorWord>
      <group>L1_Knowledge</group>
      <groupName>知识性问题</groupName>
      <ability>L2_Knowledge</ability>
      <abilityName>其他知识</abilityName>
      <candidateList>
        <item>第五十条</item>
      </candidateList>
      <explain/>
      <paraID>200D399A</paraID>
      <start>10</start>
      <end>14</end>
      <status>unmodified</status>
      <modifiedWord/>
      <trackRevisions>false</trackRevisions>
    </reviewItem>
    <reviewItem>
      <errorID>c43f91ad-d91e-48a6-93b5-a01f3139f54b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31BEAB6A</paraID>
      <start>0</start>
      <end>2</end>
      <status>unmodified</status>
      <modifiedWord/>
      <trackRevisions>false</trackRevisions>
    </reviewItem>
    <reviewItem>
      <errorID>4fc5b178-84cb-402a-8aa1-13c545384361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5AD2B98A</paraID>
      <start>0</start>
      <end>2</end>
      <status>unmodified</status>
      <modifiedWord/>
      <trackRevisions>false</trackRevisions>
    </reviewItem>
    <reviewItem>
      <errorID>e9918788-5b20-477a-ab1a-0f154502fba8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731B204</paraID>
      <start>0</start>
      <end>2</end>
      <status>unmodified</status>
      <modifiedWord/>
      <trackRevisions>false</trackRevisions>
    </reviewItem>
    <reviewItem>
      <errorID>8563691a-54f6-48a4-821e-9cbf12738549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BB6E590</paraID>
      <start>0</start>
      <end>2</end>
      <status>unmodified</status>
      <modifiedWord/>
      <trackRevisions>false</trackRevisions>
    </reviewItem>
    <reviewItem>
      <errorID>4005ac8d-3a7a-4531-b0c7-e5946c2d766e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7AEF8F54</paraID>
      <start>0</start>
      <end>2</end>
      <status>unmodified</status>
      <modifiedWord/>
      <trackRevisions>false</trackRevisions>
    </reviewItem>
    <reviewItem>
      <errorID>b759cb3b-582d-4aa6-a4a0-a57ea57f1c31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41308DE8</paraID>
      <start>0</start>
      <end>2</end>
      <status>unmodified</status>
      <modifiedWord/>
      <trackRevisions>false</trackRevisions>
    </reviewItem>
    <reviewItem>
      <errorID>28e7d97b-304f-4f46-8976-452724d771e9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23DA1C64</paraID>
      <start>0</start>
      <end>2</end>
      <status>unmodified</status>
      <modifiedWord/>
      <trackRevisions>false</trackRevisions>
    </reviewItem>
    <reviewItem>
      <errorID>987d431b-6f1d-4acb-9684-d251f7fd9149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B8D979D</paraID>
      <start>0</start>
      <end>2</end>
      <status>unmodified</status>
      <modifiedWord/>
      <trackRevisions>false</trackRevisions>
    </reviewItem>
    <reviewItem>
      <errorID>e2429e81-b0ae-4282-a01c-b5319b40da15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7E7F6703</paraID>
      <start>0</start>
      <end>2</end>
      <status>unmodified</status>
      <modifiedWord/>
      <trackRevisions>false</trackRevisions>
    </reviewItem>
    <reviewItem>
      <errorID>d42cbfc9-45bc-403a-9e4b-c5bfafcbbfca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28513410</paraID>
      <start>0</start>
      <end>2</end>
      <status>unmodified</status>
      <modifiedWord/>
      <trackRevisions>false</trackRevisions>
    </reviewItem>
    <reviewItem>
      <errorID>f15f0d13-1a94-435b-b9fe-f1aada5dd7aa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74F1AAA9</paraID>
      <start>0</start>
      <end>2</end>
      <status>unmodified</status>
      <modifiedWord/>
      <trackRevisions>false</trackRevisions>
    </reviewItem>
    <reviewItem>
      <errorID>bc3bf18d-91bb-4608-b99e-ab1b9601d9ea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25341625</paraID>
      <start>0</start>
      <end>2</end>
      <status>unmodified</status>
      <modifiedWord/>
      <trackRevisions>false</trackRevisions>
    </reviewItem>
    <reviewItem>
      <errorID>2883124b-398c-40d1-92ca-636b6b683de4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453C4D7F</paraID>
      <start>0</start>
      <end>2</end>
      <status>unmodified</status>
      <modifiedWord/>
      <trackRevisions>false</trackRevisions>
    </reviewItem>
    <reviewItem>
      <errorID>884358bc-863a-4af2-bf07-90eb5c01ab5f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502B0466</paraID>
      <start>0</start>
      <end>2</end>
      <status>unmodified</status>
      <modifiedWord/>
      <trackRevisions>false</trackRevisions>
    </reviewItem>
    <reviewItem>
      <errorID>149af038-1dc1-40cd-99ef-ab416c286d3b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9898488</paraID>
      <start>0</start>
      <end>2</end>
      <status>unmodified</status>
      <modifiedWord/>
      <trackRevisions>false</trackRevisions>
    </reviewItem>
    <reviewItem>
      <errorID>f782f9a8-955d-4267-9227-6a4587bfa39f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14E251E1</paraID>
      <start>0</start>
      <end>2</end>
      <status>unmodified</status>
      <modifiedWord/>
      <trackRevisions>false</trackRevisions>
    </reviewItem>
    <reviewItem>
      <errorID>52c6d7ca-dbe0-4e6f-aa87-5490fffb55ba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1A5B01A7</paraID>
      <start>0</start>
      <end>3</end>
      <status>unmodified</status>
      <modifiedWord/>
      <trackRevisions>false</trackRevisions>
    </reviewItem>
    <reviewItem>
      <errorID>6c6f1934-33f6-4c43-9c39-ac3a3a404948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789E8CF2</paraID>
      <start>75</start>
      <end>78</end>
      <status>unmodified</status>
      <modifiedWord/>
      <trackRevisions>false</trackRevisions>
    </reviewItem>
    <reviewItem>
      <errorID>088c58ce-2782-403c-a31a-6d6a5374cdbf</errorID>
      <errorWord>(</errorWord>
      <group>L1_Format</group>
      <groupName>格式问题</groupName>
      <ability>L2_HalfPunc</ability>
      <abilityName>全半角检查</abilityName>
      <candidateList>
        <item>（</item>
      </candidateList>
      <explain>文本全半角错误。</explain>
      <paraID>33A8AC17</paraID>
      <start>15</start>
      <end>16</end>
      <status>unmodified</status>
      <modifiedWord/>
      <trackRevisions>false</trackRevisions>
    </reviewItem>
    <reviewItem>
      <errorID>d1a6d6c9-47ad-4ba9-8301-a03570dccb04</errorID>
      <errorWord>)</errorWord>
      <group>L1_Format</group>
      <groupName>格式问题</groupName>
      <ability>L2_HalfPunc</ability>
      <abilityName>全半角检查</abilityName>
      <candidateList>
        <item>）</item>
      </candidateList>
      <explain>文本全半角错误。</explain>
      <paraID>33A8AC17</paraID>
      <start>40</start>
      <end>41</end>
      <status>unmodified</status>
      <modifiedWord/>
      <trackRevisions>false</trackRevisions>
    </reviewItem>
    <reviewItem>
      <errorID>8c9c48ca-e981-4348-a21b-fd1291698f6e</errorID>
      <errorWord>(</errorWord>
      <group>L1_Format</group>
      <groupName>格式问题</groupName>
      <ability>L2_HalfPunc</ability>
      <abilityName>全半角检查</abilityName>
      <candidateList>
        <item>（</item>
      </candidateList>
      <explain>文本全半角错误。</explain>
      <paraID>33A8AC17</paraID>
      <start>51</start>
      <end>52</end>
      <status>unmodified</status>
      <modifiedWord/>
      <trackRevisions>false</trackRevisions>
    </reviewItem>
    <reviewItem>
      <errorID>fbcb9377-38f2-421b-bbfc-2851af2e7d86</errorID>
      <errorWord>)</errorWord>
      <group>L1_Format</group>
      <groupName>格式问题</groupName>
      <ability>L2_HalfPunc</ability>
      <abilityName>全半角检查</abilityName>
      <candidateList>
        <item>）</item>
      </candidateList>
      <explain>文本全半角错误。</explain>
      <paraID>33A8AC17</paraID>
      <start>67</start>
      <end>68</end>
      <status>unmodified</status>
      <modifiedWord/>
      <trackRevisions>false</trackRevisions>
    </reviewItem>
    <reviewItem>
      <errorID>08b06b81-88e5-4ea7-9d10-7263249f93e8</errorID>
      <errorWord>(</errorWord>
      <group>L1_Format</group>
      <groupName>格式问题</groupName>
      <ability>L2_HalfPunc</ability>
      <abilityName>全半角检查</abilityName>
      <candidateList>
        <item>（</item>
      </candidateList>
      <explain>文本全半角错误。</explain>
      <paraID>33A8AC17</paraID>
      <start>108</start>
      <end>109</end>
      <status>unmodified</status>
      <modifiedWord/>
      <trackRevisions>false</trackRevisions>
    </reviewItem>
    <reviewItem>
      <errorID>819c6c3a-5daa-4fe7-86c5-4c10219e9d80</errorID>
      <errorWord>)</errorWord>
      <group>L1_Format</group>
      <groupName>格式问题</groupName>
      <ability>L2_HalfPunc</ability>
      <abilityName>全半角检查</abilityName>
      <candidateList>
        <item>）</item>
      </candidateList>
      <explain>文本全半角错误。</explain>
      <paraID>33A8AC17</paraID>
      <start>119</start>
      <end>120</end>
      <status>unmodified</status>
      <modifiedWord/>
      <trackRevisions>false</trackRevisions>
    </reviewItem>
    <reviewItem>
      <errorID>f88ce86d-4b70-4d13-b192-e5be859aa6a6</errorID>
      <errorWord>(</errorWord>
      <group>L1_Format</group>
      <groupName>格式问题</groupName>
      <ability>L2_HalfPunc</ability>
      <abilityName>全半角检查</abilityName>
      <candidateList>
        <item>（</item>
      </candidateList>
      <explain>文本全半角错误。</explain>
      <paraID>56986A9F</paraID>
      <start>18</start>
      <end>19</end>
      <status>unmodified</status>
      <modifiedWord/>
      <trackRevisions>false</trackRevisions>
    </reviewItem>
    <reviewItem>
      <errorID>51c8afce-52e5-471d-b1a5-ab4609db7496</errorID>
      <errorWord>)</errorWord>
      <group>L1_Format</group>
      <groupName>格式问题</groupName>
      <ability>L2_HalfPunc</ability>
      <abilityName>全半角检查</abilityName>
      <candidateList>
        <item>）</item>
      </candidateList>
      <explain>文本全半角错误。</explain>
      <paraID>56986A9F</paraID>
      <start>28</start>
      <end>29</end>
      <status>unmodified</status>
      <modifiedWord/>
      <trackRevisions>false</trackRevisions>
    </reviewItem>
    <reviewItem>
      <errorID>ecebe432-af72-471e-8e46-88baddeb5c7a</errorID>
      <errorWord>(</errorWord>
      <group>L1_Format</group>
      <groupName>格式问题</groupName>
      <ability>L2_HalfPunc</ability>
      <abilityName>全半角检查</abilityName>
      <candidateList>
        <item>（</item>
      </candidateList>
      <explain>文本全半角错误。</explain>
      <paraID>25ECD123</paraID>
      <start>10</start>
      <end>11</end>
      <status>unmodified</status>
      <modifiedWord/>
      <trackRevisions>false</trackRevisions>
    </reviewItem>
    <reviewItem>
      <errorID>d7a7b173-48d1-4422-aaec-e22f95f7c0c5</errorID>
      <errorWord>)</errorWord>
      <group>L1_Format</group>
      <groupName>格式问题</groupName>
      <ability>L2_HalfPunc</ability>
      <abilityName>全半角检查</abilityName>
      <candidateList>
        <item>）</item>
      </candidateList>
      <explain>文本全半角错误。</explain>
      <paraID>25ECD123</paraID>
      <start>13</start>
      <end>14</end>
      <status>unmodified</status>
      <modifiedWord/>
      <trackRevisions>false</trackRevisions>
    </reviewItem>
    <reviewItem>
      <errorID>9a2dbc14-d443-402f-8be2-b3d3c0d74c08</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25ECD123</paraID>
      <start>108</start>
      <end>113</end>
      <status>unmodified</status>
      <modifiedWord/>
      <trackRevisions>false</trackRevisions>
    </reviewItem>
    <reviewItem>
      <errorID>bb7549c6-f692-4119-b842-da8f233d6a70</errorID>
      <errorWord>；</errorWord>
      <group>L1_Word</group>
      <groupName>字词问题</groupName>
      <ability>L2_Typo</ability>
      <abilityName>字词错误</abilityName>
      <candidateList>
        <item>；具</item>
      </candidateList>
      <explain/>
      <paraID>25ECD123</paraID>
      <start>181</start>
      <end>182</end>
      <status>unmodified</status>
      <modifiedWord/>
      <trackRevisions>false</trackRevisions>
    </reviewItem>
    <reviewItem>
      <errorID>773b8fdc-c8d6-4715-9290-5b94145c2cfd</errorID>
      <errorWord>；</errorWord>
      <group>L1_Word</group>
      <groupName>字词问题</groupName>
      <ability>L2_Typo</ability>
      <abilityName>字词错误</abilityName>
      <candidateList>
        <item>；在</item>
      </candidateList>
      <explain/>
      <paraID>25ECD123</paraID>
      <start>201</start>
      <end>202</end>
      <status>unmodified</status>
      <modifiedWord/>
      <trackRevisions>false</trackRevisions>
    </reviewItem>
    <reviewItem>
      <errorID>d385e6e0-e7a2-416b-b764-17d418a6dfe4</errorID>
      <errorWord>(</errorWord>
      <group>L1_Format</group>
      <groupName>格式问题</groupName>
      <ability>L2_HalfPunc</ability>
      <abilityName>全半角检查</abilityName>
      <candidateList>
        <item>（</item>
      </candidateList>
      <explain>文本全半角错误。</explain>
      <paraID> 8EE9EE7</paraID>
      <start>5</start>
      <end>6</end>
      <status>unmodified</status>
      <modifiedWord/>
      <trackRevisions>false</trackRevisions>
    </reviewItem>
    <reviewItem>
      <errorID>ef5a8e56-11c8-463a-9c43-58ba3b9e5ada</errorID>
      <errorWord>)</errorWord>
      <group>L1_Format</group>
      <groupName>格式问题</groupName>
      <ability>L2_HalfPunc</ability>
      <abilityName>全半角检查</abilityName>
      <candidateList>
        <item>）</item>
      </candidateList>
      <explain>文本全半角错误。</explain>
      <paraID> 8EE9EE7</paraID>
      <start>8</start>
      <end>9</end>
      <status>unmodified</status>
      <modifiedWord/>
      <trackRevisions>false</trackRevisions>
    </reviewItem>
    <reviewItem>
      <errorID>c0a6efcd-1ddc-4f70-8296-a59d7eb06b91</errorID>
      <errorWord>(</errorWord>
      <group>L1_Format</group>
      <groupName>格式问题</groupName>
      <ability>L2_HalfPunc</ability>
      <abilityName>全半角检查</abilityName>
      <candidateList>
        <item>（</item>
      </candidateList>
      <explain>文本全半角错误。</explain>
      <paraID>5DB3AB04</paraID>
      <start>5</start>
      <end>6</end>
      <status>unmodified</status>
      <modifiedWord/>
      <trackRevisions>false</trackRevisions>
    </reviewItem>
    <reviewItem>
      <errorID>ac0928c1-5738-4dde-8f09-6ff39d889b82</errorID>
      <errorWord>)</errorWord>
      <group>L1_Format</group>
      <groupName>格式问题</groupName>
      <ability>L2_HalfPunc</ability>
      <abilityName>全半角检查</abilityName>
      <candidateList>
        <item>）</item>
      </candidateList>
      <explain>文本全半角错误。</explain>
      <paraID>5DB3AB04</paraID>
      <start>8</start>
      <end>9</end>
      <status>unmodified</status>
      <modifiedWord/>
      <trackRevisions>false</trackRevisions>
    </reviewItem>
    <reviewItem>
      <errorID>afab2fbd-7523-4968-82e0-4867ee68dc10</errorID>
      <errorWord>(</errorWord>
      <group>L1_Format</group>
      <groupName>格式问题</groupName>
      <ability>L2_HalfPunc</ability>
      <abilityName>全半角检查</abilityName>
      <candidateList>
        <item>（</item>
      </candidateList>
      <explain>文本全半角错误。</explain>
      <paraID>1B22D9DA</paraID>
      <start>20</start>
      <end>21</end>
      <status>unmodified</status>
      <modifiedWord/>
      <trackRevisions>false</trackRevisions>
    </reviewItem>
    <reviewItem>
      <errorID>d5046669-c342-4220-9e4a-d8118c994829</errorID>
      <errorWord>:</errorWord>
      <group>L1_Format</group>
      <groupName>格式问题</groupName>
      <ability>L2_HalfPunc</ability>
      <abilityName>全半角检查</abilityName>
      <candidateList>
        <item>：</item>
      </candidateList>
      <explain>文本全半角错误。</explain>
      <paraID>1B22D9DA</paraID>
      <start>31</start>
      <end>32</end>
      <status>unmodified</status>
      <modifiedWord/>
      <trackRevisions>false</trackRevisions>
    </reviewItem>
    <reviewItem>
      <errorID>8b55a7d3-6561-4c3e-be8b-411d289fdc0a</errorID>
      <errorWord>:</errorWord>
      <group>L1_Format</group>
      <groupName>格式问题</groupName>
      <ability>L2_HalfPunc</ability>
      <abilityName>全半角检查</abilityName>
      <candidateList>
        <item>：</item>
      </candidateList>
      <explain>文本全半角错误。</explain>
      <paraID>6577DFC3</paraID>
      <start>9</start>
      <end>10</end>
      <status>unmodified</status>
      <modifiedWord/>
      <trackRevisions>false</trackRevisions>
    </reviewItem>
    <reviewItem>
      <errorID>d5d3b124-87bd-42d3-ac76-06b2e3c31c5e</errorID>
      <errorWord>)</errorWord>
      <group>L1_Format</group>
      <groupName>格式问题</groupName>
      <ability>L2_HalfPunc</ability>
      <abilityName>全半角检查</abilityName>
      <candidateList>
        <item>）</item>
      </candidateList>
      <explain>文本全半角错误。</explain>
      <paraID>4B35DF8A</paraID>
      <start>10</start>
      <end>11</end>
      <status>unmodified</status>
      <modifiedWord/>
      <trackRevisions>false</trackRevisions>
    </reviewItem>
    <reviewItem>
      <errorID>5fb872c0-faa9-4b67-a153-2a9c8c8e06a1</errorID>
      <errorWord>:</errorWord>
      <group>L1_Format</group>
      <groupName>格式问题</groupName>
      <ability>L2_HalfPunc</ability>
      <abilityName>全半角检查</abilityName>
      <candidateList>
        <item>：</item>
      </candidateList>
      <explain>文本全半角错误。</explain>
      <paraID>4B35DF8A</paraID>
      <start>39</start>
      <end>40</end>
      <status>unmodified</status>
      <modifiedWord/>
      <trackRevisions>false</trackRevisions>
    </reviewItem>
    <reviewItem>
      <errorID>40bb6cc8-f976-4c65-8f04-85cc375604bb</errorID>
      <errorWord>(</errorWord>
      <group>L1_Format</group>
      <groupName>格式问题</groupName>
      <ability>L2_HalfPunc</ability>
      <abilityName>全半角检查</abilityName>
      <candidateList>
        <item>（</item>
      </candidateList>
      <explain>文本全半角错误。</explain>
      <paraID>60A8A715</paraID>
      <start>5</start>
      <end>6</end>
      <status>unmodified</status>
      <modifiedWord/>
      <trackRevisions>false</trackRevisions>
    </reviewItem>
    <reviewItem>
      <errorID>e18ad045-33c1-4780-8a6b-81de21c87ed0</errorID>
      <errorWord>:</errorWord>
      <group>L1_Format</group>
      <groupName>格式问题</groupName>
      <ability>L2_HalfPunc</ability>
      <abilityName>全半角检查</abilityName>
      <candidateList>
        <item>：</item>
      </candidateList>
      <explain>文本全半角错误。</explain>
      <paraID>36187216</paraID>
      <start>2</start>
      <end>3</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2FF7B85B-3355-4DDC-A840-95FE6169868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dc:creator>
  <cp:lastModifiedBy>郑晨曈</cp:lastModifiedBy>
  <cp:revision>11</cp:revision>
  <dcterms:created xsi:type="dcterms:W3CDTF">2025-06-26T02:27:00Z</dcterms:created>
  <dcterms:modified xsi:type="dcterms:W3CDTF">2025-12-26T07:36:46Z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eyJoZGlkIjoiMWViMjMxN2NhNDU3N2Q5ZTFmYmQ3ZjIzMGY2NmQ5MGUiLCJ1c2VySWQiOiIzNzY0MzI5ODkifQ==</vt:lpwstr>
  </property>
  <property fmtid="{D5CDD505-2E9C-101B-9397-08002B2CF9AE}" pid="3" name="KSOProductBuildVer">
    <vt:lpwstr>2052-12.1.0.24034</vt:lpwstr>
  </property>
  <property fmtid="{D5CDD505-2E9C-101B-9397-08002B2CF9AE}" pid="4" name="ICV">
    <vt:lpwstr>B6C01794040E4813B5B4B19251DAB173_13</vt:lpwstr>
  </property>
</Properties>
</file>